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关于生产安全事故防范和整改措施落实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情况评估报告的公示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根据《中华人民共和国安全生产法》《青海省安全生产条例》等相关法律法规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，现将“青海晶威混凝土有限公司“11•24”一般坍塌事故责任追究和整改措施落实情况评估报告”进行公示。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联系人：谢莉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联系方式：0971-8116733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598" w:leftChars="304" w:right="0" w:rightChars="0" w:hanging="960" w:hangingChars="3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附件：青海晶威混凝土有限公司“11•24”一般坍塌事故调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查防范和整改措施落实情况评估报告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2880" w:firstLineChars="9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2880" w:firstLineChars="9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1920" w:firstLineChars="600"/>
        <w:jc w:val="both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南川工业园区环境保护和安全生产监督管理分局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160" w:firstLineChars="1300"/>
        <w:jc w:val="both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2026年5月21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青海晶威混凝土有限公司“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8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”一般坍塌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事故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防范和整改措施落实情况评估报告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分许，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西宁经济技术开发区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南川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工业园区</w:t>
      </w:r>
      <w:r>
        <w:rPr>
          <w:rFonts w:hint="eastAsia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val="en-US" w:eastAsia="zh-CN"/>
        </w:rPr>
        <w:t>同安路119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val="en-US" w:eastAsia="zh-CN"/>
        </w:rPr>
        <w:t>号的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青海晶威混凝土有限公司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val="en-US" w:eastAsia="zh-CN"/>
        </w:rPr>
        <w:t>在生产经营过程中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发生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坍塌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事故，造成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人死亡,直接经济损失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根据《中华人民共和国安全生产法》《生产安全事故报告和调查处理条例》（国务院第493号）有关规定，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西宁市城中区人民政府委托南川工业园区管理委员会，由中共西宁市城中区纪律检查委员会、城中区监察委员会、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城中区人民检察院，南川工业园区环境保护和安全生产监督管理分局、规划建设和土地管理局、西宁市公安局南川工业园区公安分局、人力资源和社会事务管理局和工会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等有关部门和相关专家，成立青海晶威混凝土有限公司“11·24”一般坍塌生产安全事故调查组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（以下简称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事故调查组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全面开展事故调查处理工作，对事故原因进行调查分析。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故调查组按照“四不放过”“科学严谨、依法依规、实事求是、注重实效”的原则，通过现场勘查、调查取证、人员询问、调阅资料和综合分析等，查明了事故发生的经过和原因，以及事故应急救援、人员伤亡和直接经济损失情况，认定了事故性质和责任，提出了对相关责任单位和责任人员的处理建议、事故整改和防范措施建议。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根据国务院安委办《关于印发生产安全事故防范和整改措施落实情况评估办法的通知》青海省安委办《青海省生产安全事故防范和整改措施落实情况评估办法实施细则》（青安办〔2023〕19号）有关规定，</w:t>
      </w:r>
      <w:r>
        <w:rPr>
          <w:rFonts w:hint="eastAsia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val="en-US" w:eastAsia="zh-CN"/>
        </w:rPr>
        <w:t>南川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工业园区安全生产委员会办公室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组织对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青海晶威混凝土有限公司“11·24”一般坍塌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事故</w:t>
      </w:r>
      <w:r>
        <w:rPr>
          <w:rFonts w:hint="default" w:ascii="Times New Roman" w:hAnsi="Times New Roman" w:eastAsia="仿宋_GB2312" w:cs="Times New Roman"/>
          <w:color w:val="333333"/>
          <w:sz w:val="32"/>
        </w:rPr>
        <w:t>责任追究和整改措施落实情况进行</w:t>
      </w:r>
      <w:r>
        <w:rPr>
          <w:rFonts w:hint="default" w:ascii="Times New Roman" w:hAnsi="Times New Roman" w:eastAsia="仿宋_GB2312" w:cs="Times New Roman"/>
          <w:color w:val="333333"/>
          <w:sz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color w:val="333333"/>
          <w:sz w:val="32"/>
        </w:rPr>
        <w:t>评估。现将评估情况报告如下：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</w:rPr>
        <w:t>评估工作组织及开展情况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日，园区安委办成立了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青海晶威混凝土有限公司“11·24”一般坍塌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事故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责任追究和整改措施落实情况评估组，并于当日组织相关人员召开了评估工作会议。为准确掌握整改措施落实成效，全面剖析潜在风险隐患，推动形成风险防控长效机制。评估组按照《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青海晶威混凝土有限公司“11·24”一般坍塌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事故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调查报告》，并结合安全生产治本攻坚三年行动，深入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部门、车间，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通过资料审查、现场核查等方式，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对涉事企业有关人员行政处罚落实情况和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</w:rPr>
        <w:t>整改措施落实情况进行评估</w:t>
      </w:r>
      <w:r>
        <w:rPr>
          <w:rFonts w:hint="default" w:ascii="Times New Roman" w:hAnsi="Times New Roman" w:eastAsia="仿宋_GB2312" w:cs="Times New Roman"/>
          <w:snapToGrid w:val="0"/>
          <w:color w:val="222222"/>
          <w:sz w:val="32"/>
          <w:szCs w:val="32"/>
          <w:shd w:val="clear" w:color="auto" w:fill="FFFFFF"/>
          <w:lang w:eastAsia="zh-CN"/>
        </w:rPr>
        <w:t>。同时，对企业深刻吸取事故教训，落实安全生产主体责任和企业第一责任人责任，从安全管理规章制度、人员教育培训、安全隐患排查、应急预案演练、安全警示教育等方面进行评估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</w:rPr>
        <w:t>总体评估意见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事故发生后，相关部门和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采取了一系列整改防范措施，并按照事故调查报告防范措施及建议逐条逐项的进行了落实。评估组认为，青海铝型材厂基本能够按照相关要求做好安全防范措施的整改落实，未发现存在擅自变更、降低标准等问题。通过完善规章制度、加强教育培训、强化应急演练、开展警示教育、制定技术措施等方式提升安全生产管理水平，并以完善风险分级管控和隐患排查治理双体系建设抓手，认真开展的风险管控和隐患排查整治工作，有效避免各类生产安全事故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</w:rPr>
        <w:t>事故责任单位和责任人员的责任追究情况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按照事故调查报告的责任认定，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，安全生产主体责任落实不到位。未健全全员安全生产责任制和操作规程，未配备专职安全管理人员，对员工安全生产教育培训不到位，未严格落实安全生产检查制度，安全风险辨识不全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应急演练频次不足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导致事故发生。违反《中华人民共和国安全生产法》第四条、第二十四条第一款、第二十八条第一款，《生产安全事故应急预案管理办法》第三十三条等有关规定，对本起事故的发生负有责任。由西宁市应急管理局按《中华人民共和国安全生产法》第一百一十四条第（一）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对责任单位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val="zh-CN" w:eastAsia="zh-CN"/>
        </w:rPr>
        <w:t>进行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lang w:val="zh-CN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val="zh-CN" w:eastAsia="zh-CN"/>
        </w:rPr>
        <w:t>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1.洪**。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法定代表人。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违反了《中华人民共和国安全生产法》第二十一条第（一）（二）（三）（五）（六）项等规定，对本起事故的发生负有主要领导责任。依据《中华人民共和国安全生产法》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第九十五条第(一)项规定，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西宁市应急管理局对其进行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行政处罚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2.杨**。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青海晶威混凝土有限公司主要负责人。违反了《中华人民共和国安全生产法》第二十一条第（一）（二）（三）（五）（六）项等规定，对本起事故的发生负有主要领导责任。依据《中华人民共和国安全生产法》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第九十五条第(一)项规定，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西宁市应急管理局对其进行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行政处罚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.王**。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生产部主管。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本起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事故发生负有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依据《中华人民共和国安全生产法》第九十六条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规定，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西宁市应急管理局对其进行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lang w:eastAsia="zh-CN"/>
        </w:rPr>
        <w:t>行政处罚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Autospacing="0" w:afterAutospacing="0"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</w:rPr>
        <w:t>落实情况：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日，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eastAsia="zh-CN"/>
        </w:rPr>
        <w:t>西宁市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应急管理局对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处以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万元人民币罚款的行政处罚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eastAsia="zh-CN"/>
        </w:rPr>
        <w:t>决定；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洪**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处以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lang w:val="en-US" w:eastAsia="zh-CN"/>
        </w:rPr>
        <w:t>34000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元人民币罚款的行政处罚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青海晶威混凝土有限公司主要负责人杨**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处以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val="en-US" w:eastAsia="zh-CN"/>
        </w:rPr>
        <w:t>31269.92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元人民币罚款的行政处罚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生产部主管王**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处以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val="en-US" w:eastAsia="zh-CN"/>
        </w:rPr>
        <w:t>17853.87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</w:rPr>
        <w:t>元人民币罚款的行政处罚。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eastAsia="zh-CN"/>
        </w:rPr>
        <w:t>以上事故相关责任人和责任单位的责任追究和行政处罚，均已按要求落实到位，相关文件资料已全部归档。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t>事故防范和整改措施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青海晶威混凝土有限公司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深刻汲取事故教训，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为进一步落实企业主体责任，提升安全生产条件，加强安全生产管理，防止类似事故再次发生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公司召集公司全体人员召开事故剖析会，深刻汲取事故教育，举一反三，查找安全生产工作中存在问题和薄弱环节，加强安全管理，及时消除事故隐患，避免同类事故发生。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修订《料仓作业安全管理制度》，明确禁止人工入仓清壁，严格限定自动化设备操作程序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细化《受限空间作业安全规程》，明确进入审批、气体检测、安全隔离、连续监护等强制性要求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修订《安全生产责任制》，进一步细化主要负责人、分管负责人、安全管理部门、班组长及一线员工的安全职责，层层压实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修订《安全隐患排查治理制度》，建立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班组日查、车间周查、公司月查、专业专项检查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的多层级隐患排查体系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应用信息化系统管理隐患，实现排查、登记、整改、验收、销号全过程闭环管理，确保记录完整、责任可溯。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针对料仓作业、受限空间作业、应急逃生等重点高风险环节，编制专项培训课件，组织全员考核，合格上岗。对设备操作人员进行专门培训和授权管理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增加实操演练频次，特别加强了应急处置、有限空间救援和人员撤离的实战演练。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六是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配备足额合格专职安全员，高风险作业时必须实行全过程旁站监护，检查记录存档。严格执行作业许可（如动火作业、有限空间作业）制度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公司管理层加大现场巡查频次和力度，重点督查制度落实、人员行为规范及隐患治理情况。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七是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全面修订生产安全事故综合应急预案及各专项（含坍塌、受限空间）现场处置方案，增强针对性和可操作性。按新预案要求补充、更新应急物资，确保完好备用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组织全员进行新预案的宣贯学习和专项演练。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八是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聘请专业机构对全公司所有料仓结构（重点是4号料仓）进行全面安全性评估与检测，对薄弱部位已按照方案完成加固。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园区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35家生产经营单位开展现场事故警示教育会，要求企业对照事故案例，全面开展安全自查自纠；要求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建筑企业全面开展安全风险辨识管控工作，制定相应的安全防范措施，并及时督促建筑企业事故整改隐患，坚决制止此类事故的再次发生。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职能部门和企业主体以此为鉴，严格遵循“三管三必须”法定原则，深学笃行习近平总书记关于安全生产的重要论述，进一步强化底线思维和风险意识，坚守安全发展理念，将保护人民生命安全置于首位。以防范化解重大安全风险为主线，以推动园区高质量安全发展为目标，全面深化安全生产领域改革创新，持续织密扎牢责任链条，着力提升风险精准管控、依法治理和基础保障水平。要常态化开展重点行业领域专项整治，加大责任追究力度，倒逼各类主体自觉履行法定职责，不断巩固安全生产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五、评估结论及</w:t>
      </w:r>
      <w:r>
        <w:rPr>
          <w:rFonts w:hint="eastAsia" w:ascii="黑体" w:hAnsi="黑体" w:eastAsia="黑体" w:cs="黑体"/>
          <w:bCs/>
          <w:sz w:val="32"/>
          <w:szCs w:val="32"/>
        </w:rPr>
        <w:t>下一步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经复盘评估，“11.24”事故调查报告完整、原因清晰，相关责任单位和人员已依法处理，经济处罚和刑事追责执行到位。事发企业及同类项目普遍开展警示教育与操作培训，园区建设各标段认真组织案例剖析和隐患自查，整改措施已落地见效。下一步，园区安委会各成员单位及重点企业将持续深化警示教育成果，落实安全生产会议精神，全力保障安全形势稳定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提高政治站位，聚焦建筑施工、危化品、人员密集场所等重点领域，全面开展风险辨识和隐患清零，严厉打击违法违规行为。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加密检查频次，组建专项督查组，采取“四不两直”方式开展突击检查，压实安全责任，杜绝重特大事故。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强化组织保障，严格落实党政领导干部安全生产责任制，坚持“党政同责、一岗双责、齐抓共管、失职追责”，主要领导靠前指挥，发挥安委办统筹协调作用，健全长效机制，完善安全制度体系，拧紧责任链条，聚焦薄弱环节精准发力，践行人民至上、生命至上，维护园区安全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2240" w:firstLineChars="700"/>
        <w:jc w:val="left"/>
        <w:textAlignment w:val="auto"/>
        <w:outlineLvl w:val="9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西宁经济技术开发区南川工业园区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青海晶威混凝土有限公司“11•24”一般坍塌事故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          2026年2月10日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w w:val="8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N2YyZmMwNGNmNjZiMmM4M2Q3MGFkY2MyMDM1ZDkifQ=="/>
  </w:docVars>
  <w:rsids>
    <w:rsidRoot w:val="00000000"/>
    <w:rsid w:val="014265FA"/>
    <w:rsid w:val="02213E5D"/>
    <w:rsid w:val="02731389"/>
    <w:rsid w:val="028A5150"/>
    <w:rsid w:val="02C83BF3"/>
    <w:rsid w:val="02F60447"/>
    <w:rsid w:val="033A0B59"/>
    <w:rsid w:val="040A3234"/>
    <w:rsid w:val="049A4077"/>
    <w:rsid w:val="04B15895"/>
    <w:rsid w:val="04FE7541"/>
    <w:rsid w:val="0521693F"/>
    <w:rsid w:val="071E4FBC"/>
    <w:rsid w:val="07C74150"/>
    <w:rsid w:val="09321F8B"/>
    <w:rsid w:val="0A48440A"/>
    <w:rsid w:val="0A783322"/>
    <w:rsid w:val="0B022976"/>
    <w:rsid w:val="0C1C1816"/>
    <w:rsid w:val="0C28640C"/>
    <w:rsid w:val="0CAC0DEC"/>
    <w:rsid w:val="0E2945D6"/>
    <w:rsid w:val="0F9573D5"/>
    <w:rsid w:val="0F974F96"/>
    <w:rsid w:val="11BA3663"/>
    <w:rsid w:val="125B54EE"/>
    <w:rsid w:val="12A365A3"/>
    <w:rsid w:val="131577DB"/>
    <w:rsid w:val="146D1091"/>
    <w:rsid w:val="14DE5ECD"/>
    <w:rsid w:val="155A3697"/>
    <w:rsid w:val="170000A7"/>
    <w:rsid w:val="18A45472"/>
    <w:rsid w:val="19B96DBA"/>
    <w:rsid w:val="1CB2349F"/>
    <w:rsid w:val="1D320E99"/>
    <w:rsid w:val="1D73713F"/>
    <w:rsid w:val="1D864D41"/>
    <w:rsid w:val="1E796A23"/>
    <w:rsid w:val="1F8A4FBC"/>
    <w:rsid w:val="1FEA4FB9"/>
    <w:rsid w:val="205C383A"/>
    <w:rsid w:val="20AD7553"/>
    <w:rsid w:val="210F6798"/>
    <w:rsid w:val="218E5BBD"/>
    <w:rsid w:val="24C30A93"/>
    <w:rsid w:val="267047E0"/>
    <w:rsid w:val="26867B60"/>
    <w:rsid w:val="2751350E"/>
    <w:rsid w:val="294F578B"/>
    <w:rsid w:val="29AF562D"/>
    <w:rsid w:val="2ABC3686"/>
    <w:rsid w:val="2B47568D"/>
    <w:rsid w:val="2CA75812"/>
    <w:rsid w:val="2DA42F6E"/>
    <w:rsid w:val="2E1747B0"/>
    <w:rsid w:val="2EA22E91"/>
    <w:rsid w:val="2F5277B1"/>
    <w:rsid w:val="314A4EF4"/>
    <w:rsid w:val="328103A5"/>
    <w:rsid w:val="332D5F33"/>
    <w:rsid w:val="34007090"/>
    <w:rsid w:val="34022063"/>
    <w:rsid w:val="34630E03"/>
    <w:rsid w:val="35066A3B"/>
    <w:rsid w:val="353201D7"/>
    <w:rsid w:val="37C35710"/>
    <w:rsid w:val="37D766EA"/>
    <w:rsid w:val="3A6366DE"/>
    <w:rsid w:val="3AD13A1A"/>
    <w:rsid w:val="3B0A3A01"/>
    <w:rsid w:val="3B1F2605"/>
    <w:rsid w:val="3B716BD9"/>
    <w:rsid w:val="3B7C464C"/>
    <w:rsid w:val="3B8B1C35"/>
    <w:rsid w:val="3C2E6A34"/>
    <w:rsid w:val="3C373E57"/>
    <w:rsid w:val="3F7E08F2"/>
    <w:rsid w:val="40EE0612"/>
    <w:rsid w:val="41AD10A8"/>
    <w:rsid w:val="44F15546"/>
    <w:rsid w:val="461F6BBA"/>
    <w:rsid w:val="46670209"/>
    <w:rsid w:val="475B233C"/>
    <w:rsid w:val="49C37D91"/>
    <w:rsid w:val="49E97FD0"/>
    <w:rsid w:val="4ADC5C11"/>
    <w:rsid w:val="4B1F5E4F"/>
    <w:rsid w:val="4CE21F55"/>
    <w:rsid w:val="4DEC68F7"/>
    <w:rsid w:val="4E0A3254"/>
    <w:rsid w:val="4F00775C"/>
    <w:rsid w:val="506A211C"/>
    <w:rsid w:val="50B56E07"/>
    <w:rsid w:val="51750A31"/>
    <w:rsid w:val="52B868C8"/>
    <w:rsid w:val="54571DEF"/>
    <w:rsid w:val="546F5E15"/>
    <w:rsid w:val="555A2916"/>
    <w:rsid w:val="55E56B64"/>
    <w:rsid w:val="57A005D2"/>
    <w:rsid w:val="587B1322"/>
    <w:rsid w:val="59346469"/>
    <w:rsid w:val="598A2741"/>
    <w:rsid w:val="5AD2138E"/>
    <w:rsid w:val="5B6E3212"/>
    <w:rsid w:val="5EEB7BE5"/>
    <w:rsid w:val="5F976163"/>
    <w:rsid w:val="60987315"/>
    <w:rsid w:val="613F280A"/>
    <w:rsid w:val="61657CC9"/>
    <w:rsid w:val="61E84C4F"/>
    <w:rsid w:val="62AC2121"/>
    <w:rsid w:val="63384CA7"/>
    <w:rsid w:val="63806A4E"/>
    <w:rsid w:val="63FB3C15"/>
    <w:rsid w:val="6505464C"/>
    <w:rsid w:val="654153AA"/>
    <w:rsid w:val="65504D02"/>
    <w:rsid w:val="65D57BE0"/>
    <w:rsid w:val="6614409F"/>
    <w:rsid w:val="68BD1F9F"/>
    <w:rsid w:val="697B14E2"/>
    <w:rsid w:val="69990F25"/>
    <w:rsid w:val="6A2B6B3C"/>
    <w:rsid w:val="6A87248A"/>
    <w:rsid w:val="6C5B6DD1"/>
    <w:rsid w:val="6D806BB4"/>
    <w:rsid w:val="6D98205C"/>
    <w:rsid w:val="6D997745"/>
    <w:rsid w:val="6DD722A6"/>
    <w:rsid w:val="6E310201"/>
    <w:rsid w:val="70DC0075"/>
    <w:rsid w:val="72E71B23"/>
    <w:rsid w:val="730F2E68"/>
    <w:rsid w:val="743E4C56"/>
    <w:rsid w:val="75F83D9A"/>
    <w:rsid w:val="7761258A"/>
    <w:rsid w:val="78554193"/>
    <w:rsid w:val="79F8042F"/>
    <w:rsid w:val="7AAB02D3"/>
    <w:rsid w:val="7BF337DD"/>
    <w:rsid w:val="7CBA3AAE"/>
    <w:rsid w:val="7CCA59C4"/>
    <w:rsid w:val="7CCB71F0"/>
    <w:rsid w:val="7DFA7CBD"/>
    <w:rsid w:val="7E9E524E"/>
    <w:rsid w:val="7F101E5F"/>
    <w:rsid w:val="7F8E22D2"/>
    <w:rsid w:val="7FEF3E86"/>
    <w:rsid w:val="7FF5C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customStyle="1" w:styleId="5">
    <w:name w:val="Body Text Indent_f77f72b6-f40b-4644-955b-05e6e524d3cb"/>
    <w:basedOn w:val="1"/>
    <w:qFormat/>
    <w:uiPriority w:val="0"/>
    <w:pPr>
      <w:ind w:left="420" w:leftChars="200"/>
    </w:pPr>
    <w:rPr>
      <w:kern w:val="0"/>
      <w:sz w:val="24"/>
      <w:szCs w:val="20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rFonts w:cs="黑体"/>
      <w:kern w:val="0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13">
    <w:name w:val="Body Text First Indent 2"/>
    <w:basedOn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styleId="18">
    <w:name w:val="footnote reference"/>
    <w:basedOn w:val="16"/>
    <w:qFormat/>
    <w:uiPriority w:val="0"/>
    <w:rPr>
      <w:rFonts w:ascii="Tahoma" w:hAnsi="Tahoma"/>
      <w:kern w:val="2"/>
      <w:sz w:val="24"/>
      <w:szCs w:val="20"/>
      <w:vertAlign w:val="superscript"/>
      <w:lang w:eastAsia="zh-CN"/>
    </w:rPr>
  </w:style>
  <w:style w:type="paragraph" w:customStyle="1" w:styleId="19">
    <w:name w:val="正文-公1"/>
    <w:basedOn w:val="20"/>
    <w:next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  <w:style w:type="paragraph" w:customStyle="1" w:styleId="20">
    <w:name w:val="正文1"/>
    <w:next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left="0" w:leftChars="0" w:right="0" w:rightChars="0" w:firstLine="420" w:firstLineChars="200"/>
    </w:pPr>
    <w:rPr>
      <w:rFonts w:ascii="Calibri" w:hAnsi="Calibri" w:eastAsia="宋体" w:cs="黑体"/>
    </w:rPr>
  </w:style>
  <w:style w:type="character" w:customStyle="1" w:styleId="22">
    <w:name w:val="NormalCharacter"/>
    <w:basedOn w:val="16"/>
    <w:qFormat/>
    <w:uiPriority w:val="0"/>
  </w:style>
  <w:style w:type="paragraph" w:customStyle="1" w:styleId="23">
    <w:name w:val="样式 标题 3 + 首行缩进:  2 字符"/>
    <w:basedOn w:val="3"/>
    <w:qFormat/>
    <w:uiPriority w:val="0"/>
    <w:pPr>
      <w:spacing w:before="0" w:after="0" w:line="480" w:lineRule="exact"/>
      <w:jc w:val="left"/>
    </w:pPr>
    <w:rPr>
      <w:rFonts w:ascii="宋体" w:hAnsi="宋体"/>
      <w:sz w:val="28"/>
      <w:szCs w:val="28"/>
      <w:lang w:bidi="ar-DZ"/>
    </w:rPr>
  </w:style>
  <w:style w:type="paragraph" w:customStyle="1" w:styleId="2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3551</Words>
  <Characters>3629</Characters>
  <Lines>0</Lines>
  <Paragraphs>0</Paragraphs>
  <TotalTime>1</TotalTime>
  <ScaleCrop>false</ScaleCrop>
  <LinksUpToDate>false</LinksUpToDate>
  <CharactersWithSpaces>3652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M4600</dc:creator>
  <cp:lastModifiedBy>user</cp:lastModifiedBy>
  <cp:lastPrinted>2026-05-25T09:54:11Z</cp:lastPrinted>
  <dcterms:modified xsi:type="dcterms:W3CDTF">2026-05-25T09:54:14Z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eyJoZGlkIjoiZjNjN2YyM2Y0NGUyZmI3OTdjNjQ1MDFlZjk1OTQwYWYiLCJ1c2VySWQiOiIyODQ0Nzc3MDIifQ==</vt:lpwstr>
  </property>
  <property fmtid="{D5CDD505-2E9C-101B-9397-08002B2CF9AE}" pid="4" name="ICV">
    <vt:lpwstr>5E691BF4D83C46879D95522FC723C5F0_12</vt:lpwstr>
  </property>
</Properties>
</file>