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wordWrap/>
        <w:overflowPunct/>
        <w:topLinePunct w:val="0"/>
        <w:autoSpaceDE/>
        <w:autoSpaceDN/>
        <w:bidi w:val="0"/>
        <w:adjustRightInd/>
        <w:snapToGrid/>
        <w:spacing w:line="13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13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青海晶威混凝土有限公司“</w:t>
      </w:r>
      <w:r>
        <w:rPr>
          <w:rFonts w:hint="eastAsia" w:ascii="方正小标宋简体" w:hAnsi="方正小标宋简体" w:eastAsia="方正小标宋简体" w:cs="方正小标宋简体"/>
          <w:b w:val="0"/>
          <w:bCs w:val="0"/>
          <w:color w:val="auto"/>
          <w:sz w:val="44"/>
          <w:szCs w:val="44"/>
          <w:lang w:val="en-US" w:eastAsia="zh-CN"/>
        </w:rPr>
        <w:t>11</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lang w:val="en-US" w:eastAsia="zh-CN"/>
        </w:rPr>
        <w:t>24</w:t>
      </w:r>
      <w:r>
        <w:rPr>
          <w:rFonts w:hint="eastAsia" w:ascii="方正小标宋简体" w:hAnsi="方正小标宋简体" w:eastAsia="方正小标宋简体" w:cs="方正小标宋简体"/>
          <w:b w:val="0"/>
          <w:bCs w:val="0"/>
          <w:color w:val="auto"/>
          <w:sz w:val="44"/>
          <w:szCs w:val="44"/>
          <w:lang w:eastAsia="zh-CN"/>
        </w:rPr>
        <w:t>”一般坍塌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事故调查报告</w:t>
      </w:r>
    </w:p>
    <w:p>
      <w:pPr>
        <w:pStyle w:val="2"/>
        <w:rPr>
          <w:rFonts w:hint="eastAsia" w:ascii="方正小标宋简体" w:hAnsi="方正小标宋简体" w:eastAsia="方正小标宋简体" w:cs="方正小标宋简体"/>
          <w:b w:val="0"/>
          <w:bCs w:val="0"/>
          <w:color w:val="auto"/>
          <w:sz w:val="44"/>
          <w:szCs w:val="44"/>
          <w:lang w:eastAsia="zh-CN"/>
        </w:rPr>
      </w:pPr>
    </w:p>
    <w:p>
      <w:pPr>
        <w:rPr>
          <w:rFonts w:hint="eastAsia" w:ascii="方正小标宋简体" w:hAnsi="方正小标宋简体" w:eastAsia="方正小标宋简体" w:cs="方正小标宋简体"/>
          <w:b w:val="0"/>
          <w:bCs w:val="0"/>
          <w:color w:val="auto"/>
          <w:sz w:val="44"/>
          <w:szCs w:val="44"/>
          <w:lang w:eastAsia="zh-CN"/>
        </w:rPr>
      </w:pPr>
    </w:p>
    <w:p>
      <w:pPr>
        <w:pStyle w:val="2"/>
        <w:rPr>
          <w:rFonts w:hint="eastAsia" w:ascii="方正小标宋简体" w:hAnsi="方正小标宋简体" w:eastAsia="方正小标宋简体" w:cs="方正小标宋简体"/>
          <w:b w:val="0"/>
          <w:bCs w:val="0"/>
          <w:color w:val="auto"/>
          <w:sz w:val="44"/>
          <w:szCs w:val="44"/>
          <w:lang w:eastAsia="zh-CN"/>
        </w:rPr>
      </w:pPr>
    </w:p>
    <w:p>
      <w:pPr>
        <w:rPr>
          <w:rFonts w:hint="eastAsia" w:ascii="方正小标宋简体" w:hAnsi="方正小标宋简体" w:eastAsia="方正小标宋简体" w:cs="方正小标宋简体"/>
          <w:b w:val="0"/>
          <w:bCs w:val="0"/>
          <w:color w:val="auto"/>
          <w:sz w:val="44"/>
          <w:szCs w:val="44"/>
          <w:lang w:eastAsia="zh-CN"/>
        </w:rPr>
      </w:pPr>
    </w:p>
    <w:p>
      <w:pPr>
        <w:pStyle w:val="2"/>
        <w:rPr>
          <w:rFonts w:hint="eastAsia" w:ascii="方正小标宋简体" w:hAnsi="方正小标宋简体" w:eastAsia="方正小标宋简体" w:cs="方正小标宋简体"/>
          <w:b w:val="0"/>
          <w:bCs w:val="0"/>
          <w:color w:val="auto"/>
          <w:sz w:val="44"/>
          <w:szCs w:val="44"/>
          <w:lang w:eastAsia="zh-CN"/>
        </w:rPr>
      </w:pPr>
    </w:p>
    <w:p>
      <w:pPr>
        <w:rPr>
          <w:rFonts w:hint="eastAsia" w:ascii="方正小标宋简体" w:hAnsi="方正小标宋简体" w:eastAsia="方正小标宋简体" w:cs="方正小标宋简体"/>
          <w:b w:val="0"/>
          <w:bCs w:val="0"/>
          <w:color w:val="auto"/>
          <w:sz w:val="44"/>
          <w:szCs w:val="44"/>
          <w:lang w:eastAsia="zh-CN"/>
        </w:rPr>
      </w:pPr>
    </w:p>
    <w:p>
      <w:pPr>
        <w:pStyle w:val="2"/>
        <w:rPr>
          <w:rFonts w:hint="eastAsia" w:ascii="方正小标宋简体" w:hAnsi="方正小标宋简体" w:eastAsia="方正小标宋简体" w:cs="方正小标宋简体"/>
          <w:b w:val="0"/>
          <w:bCs w:val="0"/>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1360" w:lineRule="exact"/>
        <w:ind w:left="0" w:leftChars="0" w:right="0" w:rightChars="0" w:firstLine="0" w:firstLineChars="0"/>
        <w:jc w:val="center"/>
        <w:textAlignment w:val="auto"/>
        <w:outlineLvl w:val="9"/>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西宁经济技术开发区南川工业园区管理委员会事故调查组</w:t>
      </w:r>
    </w:p>
    <w:p>
      <w:pPr>
        <w:pStyle w:val="2"/>
        <w:rPr>
          <w:rFonts w:hint="eastAsia" w:ascii="方正小标宋简体" w:hAnsi="方正小标宋简体" w:eastAsia="方正小标宋简体" w:cs="方正小标宋简体"/>
          <w:b w:val="0"/>
          <w:bCs w:val="0"/>
          <w:color w:val="auto"/>
          <w:sz w:val="44"/>
          <w:szCs w:val="44"/>
          <w:lang w:eastAsia="zh-CN"/>
        </w:rPr>
      </w:pPr>
    </w:p>
    <w:p>
      <w:pPr>
        <w:rPr>
          <w:rFonts w:hint="eastAsia"/>
          <w:lang w:val="en-US" w:eastAsia="zh-CN"/>
        </w:rPr>
      </w:pPr>
    </w:p>
    <w:p>
      <w:pPr>
        <w:jc w:val="center"/>
        <w:rPr>
          <w:rFonts w:hint="eastAsia" w:ascii="宋体" w:hAnsi="宋体" w:eastAsia="宋体" w:cs="宋体"/>
          <w:b/>
          <w:bCs/>
          <w:sz w:val="32"/>
          <w:szCs w:val="32"/>
          <w:lang w:val="en-US" w:eastAsia="zh-CN"/>
        </w:rPr>
      </w:pPr>
    </w:p>
    <w:p>
      <w:pPr>
        <w:pStyle w:val="2"/>
        <w:rPr>
          <w:rFonts w:hint="eastAsia" w:ascii="宋体" w:hAnsi="宋体" w:eastAsia="宋体" w:cs="宋体"/>
          <w:b/>
          <w:bCs/>
          <w:sz w:val="32"/>
          <w:szCs w:val="32"/>
          <w:lang w:val="en-US" w:eastAsia="zh-CN"/>
        </w:rPr>
      </w:pPr>
    </w:p>
    <w:p>
      <w:pPr>
        <w:rPr>
          <w:rFonts w:hint="eastAsia" w:ascii="宋体" w:hAnsi="宋体" w:eastAsia="宋体" w:cs="宋体"/>
          <w:b/>
          <w:bCs/>
          <w:sz w:val="32"/>
          <w:szCs w:val="32"/>
          <w:lang w:val="en-US" w:eastAsia="zh-CN"/>
        </w:rPr>
      </w:pPr>
    </w:p>
    <w:p>
      <w:pPr>
        <w:pStyle w:val="2"/>
        <w:rPr>
          <w:rFonts w:hint="eastAsia"/>
          <w:lang w:val="en-US" w:eastAsia="zh-CN"/>
        </w:rPr>
        <w:sectPr>
          <w:pgSz w:w="11906" w:h="16838"/>
          <w:pgMar w:top="2098" w:right="1474" w:bottom="1984" w:left="1587" w:header="851" w:footer="992" w:gutter="0"/>
          <w:pgNumType w:fmt="numberInDash"/>
          <w:cols w:space="0" w:num="1"/>
          <w:rtlGutter w:val="0"/>
          <w:docGrid w:type="lines" w:linePitch="318" w:charSpace="0"/>
        </w:sectPr>
      </w:pPr>
    </w:p>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目 录</w:t>
      </w:r>
    </w:p>
    <w:p>
      <w:pPr/>
    </w:p>
    <w:sdt>
      <w:sdtPr>
        <w:rPr>
          <w:rFonts w:ascii="宋体" w:hAnsi="宋体" w:eastAsia="宋体" w:cstheme="minorBidi"/>
          <w:kern w:val="2"/>
          <w:sz w:val="21"/>
          <w:szCs w:val="24"/>
          <w:lang w:val="en-US" w:eastAsia="zh-CN" w:bidi="ar-SA"/>
        </w:rPr>
        <w:id w:val="147461207"/>
        <w15:color w:val="DBDBDB"/>
      </w:sdtPr>
      <w:sdtEndPr>
        <w:rPr>
          <w:rFonts w:ascii="宋体" w:hAnsi="宋体" w:eastAsia="宋体" w:cstheme="minorBidi"/>
          <w:kern w:val="2"/>
          <w:sz w:val="21"/>
          <w:szCs w:val="24"/>
          <w:lang w:val="en-US" w:eastAsia="zh-CN" w:bidi="ar-SA"/>
        </w:rPr>
      </w:sdtEndPr>
      <w:sdtContent>
        <w:p>
          <w:pPr/>
          <w:r>
            <w:fldChar w:fldCharType="begin"/>
          </w:r>
          <w:r>
            <w:instrText xml:space="preserve">TOC \o "1-3" \h \u </w:instrText>
          </w:r>
          <w:r>
            <w:fldChar w:fldCharType="separate"/>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_Toc18812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一、事故有关情况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_Toc18812 \h </w:instrText>
          </w:r>
          <w:r>
            <w:rPr>
              <w:rFonts w:hint="eastAsia" w:ascii="黑体" w:hAnsi="黑体" w:eastAsia="黑体" w:cs="黑体"/>
              <w:sz w:val="24"/>
              <w:szCs w:val="24"/>
            </w:rPr>
            <w:fldChar w:fldCharType="separate"/>
          </w:r>
          <w:r>
            <w:rPr>
              <w:rFonts w:hint="eastAsia" w:ascii="黑体" w:hAnsi="黑体" w:eastAsia="黑体" w:cs="黑体"/>
              <w:sz w:val="24"/>
              <w:szCs w:val="24"/>
            </w:rPr>
            <w:t>- 2 -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_Toc29714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（一）事故发生单位概况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_Toc29714 \h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_Toc8125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（二）事故发生单位安全管理情况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_Toc8125 \h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_Toc19106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（三）事故发生经过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_Toc19106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_Toc28595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（四）事故现场情况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_Toc28595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_Toc16622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（五）人员伤亡和直接经济损失情况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_Toc16622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_Toc14051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二、事故应急处置情况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_Toc14051 \h </w:instrText>
          </w:r>
          <w:r>
            <w:rPr>
              <w:rFonts w:hint="eastAsia" w:ascii="黑体" w:hAnsi="黑体" w:eastAsia="黑体" w:cs="黑体"/>
              <w:sz w:val="24"/>
              <w:szCs w:val="24"/>
            </w:rPr>
            <w:fldChar w:fldCharType="separate"/>
          </w:r>
          <w:r>
            <w:rPr>
              <w:rFonts w:hint="eastAsia" w:ascii="黑体" w:hAnsi="黑体" w:eastAsia="黑体" w:cs="黑体"/>
              <w:sz w:val="24"/>
              <w:szCs w:val="24"/>
            </w:rPr>
            <w:t>- 7 -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_Toc22340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三、事故原因分析</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_Toc22340 \h </w:instrText>
          </w:r>
          <w:r>
            <w:rPr>
              <w:rFonts w:hint="eastAsia" w:ascii="黑体" w:hAnsi="黑体" w:eastAsia="黑体" w:cs="黑体"/>
              <w:sz w:val="24"/>
              <w:szCs w:val="24"/>
            </w:rPr>
            <w:fldChar w:fldCharType="separate"/>
          </w:r>
          <w:r>
            <w:rPr>
              <w:rFonts w:hint="eastAsia" w:ascii="黑体" w:hAnsi="黑体" w:eastAsia="黑体" w:cs="黑体"/>
              <w:sz w:val="24"/>
              <w:szCs w:val="24"/>
            </w:rPr>
            <w:t>- 8 -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_Toc29144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_Toc29144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_Toc26536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（二）其他可能因素排除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_Toc26536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_Toc19329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（三） 间接原因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_Toc19329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_Toc20041 </w:instrText>
          </w:r>
          <w:r>
            <w:rPr>
              <w:rFonts w:hint="eastAsia" w:ascii="黑体" w:hAnsi="黑体" w:eastAsia="黑体" w:cs="黑体"/>
              <w:sz w:val="24"/>
              <w:szCs w:val="24"/>
            </w:rPr>
            <w:fldChar w:fldCharType="separate"/>
          </w:r>
          <w:r>
            <w:rPr>
              <w:rFonts w:hint="eastAsia" w:ascii="黑体" w:hAnsi="黑体" w:eastAsia="黑体" w:cs="黑体"/>
              <w:sz w:val="24"/>
              <w:szCs w:val="24"/>
              <w:lang w:eastAsia="zh-CN"/>
            </w:rPr>
            <w:t>四、事故责任</w:t>
          </w:r>
          <w:r>
            <w:rPr>
              <w:rFonts w:hint="eastAsia" w:ascii="黑体" w:hAnsi="黑体" w:eastAsia="黑体" w:cs="黑体"/>
              <w:sz w:val="24"/>
              <w:szCs w:val="24"/>
            </w:rPr>
            <w:t>单位存在的主要问题</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_Toc20041 \h </w:instrText>
          </w:r>
          <w:r>
            <w:rPr>
              <w:rFonts w:hint="eastAsia" w:ascii="黑体" w:hAnsi="黑体" w:eastAsia="黑体" w:cs="黑体"/>
              <w:sz w:val="24"/>
              <w:szCs w:val="24"/>
            </w:rPr>
            <w:fldChar w:fldCharType="separate"/>
          </w:r>
          <w:r>
            <w:rPr>
              <w:rFonts w:hint="eastAsia" w:ascii="黑体" w:hAnsi="黑体" w:eastAsia="黑体" w:cs="黑体"/>
              <w:sz w:val="24"/>
              <w:szCs w:val="24"/>
            </w:rPr>
            <w:t>- 8 -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_Toc105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（一）未健全企业安全生产管理体系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_Toc105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_Toc10832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（二）企业员工安全教育培训不到位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_Toc10832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_Toc23732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（三）企业日常安全管理不到位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_Toc23732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_Toc8812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五、对有关责任人员和责任单位的处理建议</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_Toc8812 \h </w:instrText>
          </w:r>
          <w:r>
            <w:rPr>
              <w:rFonts w:hint="eastAsia" w:ascii="黑体" w:hAnsi="黑体" w:eastAsia="黑体" w:cs="黑体"/>
              <w:sz w:val="24"/>
              <w:szCs w:val="24"/>
            </w:rPr>
            <w:fldChar w:fldCharType="separate"/>
          </w:r>
          <w:r>
            <w:rPr>
              <w:rFonts w:hint="eastAsia" w:ascii="黑体" w:hAnsi="黑体" w:eastAsia="黑体" w:cs="黑体"/>
              <w:sz w:val="24"/>
              <w:szCs w:val="24"/>
            </w:rPr>
            <w:t>- 9 -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_Toc13066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（一）不予追究人员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_Toc13066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_Toc12942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（二）事故相关责任人员的行政处罚建议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_Toc12942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_Toc23510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（三）对事故责任单位的行政处罚建议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_Toc23510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5"/>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_Toc29871 </w:instrText>
          </w:r>
          <w:r>
            <w:rPr>
              <w:rFonts w:hint="eastAsia" w:ascii="宋体" w:hAnsi="宋体" w:eastAsia="宋体" w:cs="宋体"/>
              <w:sz w:val="24"/>
              <w:szCs w:val="24"/>
            </w:rPr>
            <w:fldChar w:fldCharType="separate"/>
          </w:r>
          <w:r>
            <w:rPr>
              <w:rFonts w:hint="eastAsia" w:ascii="宋体" w:hAnsi="宋体" w:eastAsia="宋体" w:cs="宋体"/>
              <w:bCs w:val="0"/>
              <w:sz w:val="24"/>
              <w:szCs w:val="24"/>
              <w:lang w:val="en-US" w:eastAsia="zh-CN"/>
            </w:rPr>
            <w:t>（四）建议移交司法机关处理的人员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_Toc29871 \h </w:instrText>
          </w:r>
          <w:r>
            <w:rPr>
              <w:rFonts w:hint="eastAsia" w:ascii="宋体" w:hAnsi="宋体" w:eastAsia="宋体" w:cs="宋体"/>
              <w:sz w:val="24"/>
              <w:szCs w:val="24"/>
            </w:rPr>
            <w:fldChar w:fldCharType="separate"/>
          </w:r>
          <w:r>
            <w:rPr>
              <w:rFonts w:hint="eastAsia" w:ascii="宋体" w:hAnsi="宋体" w:eastAsia="宋体" w:cs="宋体"/>
              <w:sz w:val="24"/>
              <w:szCs w:val="24"/>
            </w:rPr>
            <w:t>- 12 -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_Toc1925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六、事故整改和防范措施</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_Toc1925 \h </w:instrText>
          </w:r>
          <w:r>
            <w:rPr>
              <w:rFonts w:hint="eastAsia" w:ascii="黑体" w:hAnsi="黑体" w:eastAsia="黑体" w:cs="黑体"/>
              <w:sz w:val="24"/>
              <w:szCs w:val="24"/>
            </w:rPr>
            <w:fldChar w:fldCharType="separate"/>
          </w:r>
          <w:r>
            <w:rPr>
              <w:rFonts w:hint="eastAsia" w:ascii="黑体" w:hAnsi="黑体" w:eastAsia="黑体" w:cs="黑体"/>
              <w:sz w:val="24"/>
              <w:szCs w:val="24"/>
            </w:rPr>
            <w:t>- 12 -</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pPr/>
          <w:r>
            <w:fldChar w:fldCharType="end"/>
          </w:r>
        </w:p>
      </w:sdtContent>
    </w:sdt>
    <w:p>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b/>
          <w:bCs/>
          <w:color w:val="FF0000"/>
          <w:w w:val="58"/>
          <w:sz w:val="100"/>
          <w:szCs w:val="100"/>
          <w:lang w:val="en-US" w:eastAsia="zh-CN"/>
        </w:rPr>
        <w:t xml:space="preserve">                                                                                                                                                                                                                                                                                                                                                                                                                                                                                                                                                           </w:t>
      </w:r>
    </w:p>
    <w:p>
      <w:pPr>
        <w:sectPr>
          <w:footerReference r:id="rId4" w:type="default"/>
          <w:pgSz w:w="11906" w:h="16838"/>
          <w:pgMar w:top="2098" w:right="1474" w:bottom="1984" w:left="1587" w:header="851" w:footer="992" w:gutter="0"/>
          <w:pgNumType w:fmt="numberInDash" w:start="1"/>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0" w:firstLineChars="0"/>
        <w:jc w:val="both"/>
        <w:textAlignment w:val="auto"/>
        <w:outlineLvl w:val="9"/>
        <w:rPr>
          <w:rFonts w:hint="eastAsia" w:ascii="仿宋_GB2312" w:hAnsi="仿宋_GB2312" w:eastAsia="仿宋_GB2312" w:cs="仿宋_GB2312"/>
          <w:b w:val="0"/>
          <w:color w:val="FF0000"/>
          <w:sz w:val="32"/>
          <w:szCs w:val="32"/>
          <w:lang w:eastAsia="zh-CN"/>
        </w:rPr>
      </w:pPr>
      <w:r>
        <w:rPr>
          <w:rFonts w:hint="eastAsia" w:ascii="仿宋_GB2312" w:hAnsi="仿宋_GB2312" w:eastAsia="仿宋_GB2312" w:cs="仿宋_GB2312"/>
          <w:b w:val="0"/>
          <w:color w:val="000000"/>
          <w:sz w:val="32"/>
          <w:szCs w:val="32"/>
        </w:rPr>
        <w:t>202</w:t>
      </w:r>
      <w:r>
        <w:rPr>
          <w:rFonts w:hint="eastAsia" w:ascii="仿宋_GB2312" w:hAnsi="仿宋_GB2312" w:eastAsia="仿宋_GB2312" w:cs="仿宋_GB2312"/>
          <w:b w:val="0"/>
          <w:color w:val="000000"/>
          <w:sz w:val="32"/>
          <w:szCs w:val="32"/>
          <w:lang w:val="en-US" w:eastAsia="zh-CN"/>
        </w:rPr>
        <w:t>4</w:t>
      </w:r>
      <w:r>
        <w:rPr>
          <w:rFonts w:hint="eastAsia" w:ascii="仿宋_GB2312" w:hAnsi="仿宋_GB2312" w:eastAsia="仿宋_GB2312" w:cs="仿宋_GB2312"/>
          <w:b w:val="0"/>
          <w:color w:val="000000"/>
          <w:sz w:val="32"/>
          <w:szCs w:val="32"/>
        </w:rPr>
        <w:t>年</w:t>
      </w:r>
      <w:r>
        <w:rPr>
          <w:rFonts w:hint="eastAsia" w:ascii="仿宋_GB2312" w:hAnsi="仿宋_GB2312" w:eastAsia="仿宋_GB2312" w:cs="仿宋_GB2312"/>
          <w:b w:val="0"/>
          <w:color w:val="000000"/>
          <w:sz w:val="32"/>
          <w:szCs w:val="32"/>
          <w:lang w:val="en-US" w:eastAsia="zh-CN"/>
        </w:rPr>
        <w:t>11</w:t>
      </w:r>
      <w:r>
        <w:rPr>
          <w:rFonts w:hint="eastAsia" w:ascii="仿宋_GB2312" w:hAnsi="仿宋_GB2312" w:eastAsia="仿宋_GB2312" w:cs="仿宋_GB2312"/>
          <w:b w:val="0"/>
          <w:color w:val="000000"/>
          <w:sz w:val="32"/>
          <w:szCs w:val="32"/>
        </w:rPr>
        <w:t>月</w:t>
      </w:r>
      <w:r>
        <w:rPr>
          <w:rFonts w:hint="eastAsia" w:ascii="仿宋_GB2312" w:hAnsi="仿宋_GB2312" w:eastAsia="仿宋_GB2312" w:cs="仿宋_GB2312"/>
          <w:b w:val="0"/>
          <w:color w:val="000000"/>
          <w:sz w:val="32"/>
          <w:szCs w:val="32"/>
          <w:lang w:val="en-US" w:eastAsia="zh-CN"/>
        </w:rPr>
        <w:t>24</w:t>
      </w:r>
      <w:r>
        <w:rPr>
          <w:rFonts w:hint="eastAsia" w:ascii="仿宋_GB2312" w:hAnsi="仿宋_GB2312" w:eastAsia="仿宋_GB2312" w:cs="仿宋_GB2312"/>
          <w:b w:val="0"/>
          <w:color w:val="000000"/>
          <w:sz w:val="32"/>
          <w:szCs w:val="32"/>
        </w:rPr>
        <w:t>日</w:t>
      </w:r>
      <w:r>
        <w:rPr>
          <w:rFonts w:hint="eastAsia" w:ascii="仿宋_GB2312" w:hAnsi="仿宋_GB2312" w:eastAsia="仿宋_GB2312" w:cs="仿宋_GB2312"/>
          <w:b w:val="0"/>
          <w:color w:val="000000"/>
          <w:sz w:val="32"/>
          <w:szCs w:val="32"/>
          <w:lang w:val="en-US" w:eastAsia="zh-CN"/>
        </w:rPr>
        <w:t>14</w:t>
      </w:r>
      <w:r>
        <w:rPr>
          <w:rFonts w:hint="eastAsia" w:ascii="仿宋_GB2312" w:hAnsi="仿宋_GB2312" w:eastAsia="仿宋_GB2312" w:cs="仿宋_GB2312"/>
          <w:b w:val="0"/>
          <w:color w:val="000000"/>
          <w:sz w:val="32"/>
          <w:szCs w:val="32"/>
        </w:rPr>
        <w:t>时</w:t>
      </w:r>
      <w:r>
        <w:rPr>
          <w:rFonts w:hint="eastAsia" w:ascii="仿宋_GB2312" w:hAnsi="仿宋_GB2312" w:eastAsia="仿宋_GB2312" w:cs="仿宋_GB2312"/>
          <w:b w:val="0"/>
          <w:color w:val="000000"/>
          <w:sz w:val="32"/>
          <w:szCs w:val="32"/>
          <w:lang w:val="en-US" w:eastAsia="zh-CN"/>
        </w:rPr>
        <w:t>40</w:t>
      </w:r>
      <w:r>
        <w:rPr>
          <w:rFonts w:hint="eastAsia" w:ascii="仿宋_GB2312" w:hAnsi="仿宋_GB2312" w:eastAsia="仿宋_GB2312" w:cs="仿宋_GB2312"/>
          <w:b w:val="0"/>
          <w:color w:val="000000"/>
          <w:sz w:val="32"/>
          <w:szCs w:val="32"/>
        </w:rPr>
        <w:t>分许，</w:t>
      </w:r>
      <w:r>
        <w:rPr>
          <w:rFonts w:hint="eastAsia" w:ascii="仿宋_GB2312" w:hAnsi="仿宋_GB2312" w:eastAsia="仿宋_GB2312" w:cs="仿宋_GB2312"/>
          <w:b w:val="0"/>
          <w:color w:val="000000"/>
          <w:sz w:val="32"/>
          <w:szCs w:val="32"/>
          <w:lang w:eastAsia="zh-CN"/>
        </w:rPr>
        <w:t>位于南川</w:t>
      </w:r>
      <w:r>
        <w:rPr>
          <w:rFonts w:hint="eastAsia" w:ascii="仿宋_GB2312" w:hAnsi="仿宋_GB2312" w:eastAsia="仿宋_GB2312" w:cs="仿宋_GB2312"/>
          <w:b w:val="0"/>
          <w:color w:val="000000"/>
          <w:sz w:val="32"/>
          <w:szCs w:val="32"/>
        </w:rPr>
        <w:t>工业园区的</w:t>
      </w:r>
      <w:r>
        <w:rPr>
          <w:rFonts w:hint="eastAsia" w:ascii="仿宋_GB2312" w:hAnsi="仿宋_GB2312" w:eastAsia="仿宋_GB2312" w:cs="仿宋_GB2312"/>
          <w:b w:val="0"/>
          <w:color w:val="000000"/>
          <w:sz w:val="32"/>
          <w:szCs w:val="32"/>
          <w:lang w:eastAsia="zh-CN"/>
        </w:rPr>
        <w:t>青海晶威混凝土有限公司</w:t>
      </w:r>
      <w:r>
        <w:rPr>
          <w:rFonts w:hint="eastAsia" w:ascii="仿宋_GB2312" w:hAnsi="仿宋_GB2312" w:eastAsia="仿宋_GB2312" w:cs="仿宋_GB2312"/>
          <w:b w:val="0"/>
          <w:color w:val="000000"/>
          <w:sz w:val="32"/>
          <w:szCs w:val="32"/>
          <w:lang w:val="en-US" w:eastAsia="zh-CN"/>
        </w:rPr>
        <w:t>4号料仓</w:t>
      </w:r>
      <w:r>
        <w:rPr>
          <w:rFonts w:hint="eastAsia" w:ascii="仿宋_GB2312" w:hAnsi="仿宋_GB2312" w:eastAsia="仿宋_GB2312" w:cs="仿宋_GB2312"/>
          <w:b w:val="0"/>
          <w:color w:val="000000"/>
          <w:sz w:val="32"/>
          <w:szCs w:val="32"/>
        </w:rPr>
        <w:t>发生一起</w:t>
      </w:r>
      <w:r>
        <w:rPr>
          <w:rFonts w:hint="eastAsia" w:ascii="仿宋_GB2312" w:hAnsi="仿宋_GB2312" w:eastAsia="仿宋_GB2312" w:cs="仿宋_GB2312"/>
          <w:b w:val="0"/>
          <w:color w:val="000000"/>
          <w:sz w:val="32"/>
          <w:szCs w:val="32"/>
          <w:lang w:eastAsia="zh-CN"/>
        </w:rPr>
        <w:t>坍塌</w:t>
      </w:r>
      <w:r>
        <w:rPr>
          <w:rFonts w:hint="eastAsia" w:ascii="仿宋_GB2312" w:hAnsi="仿宋_GB2312" w:eastAsia="仿宋_GB2312" w:cs="仿宋_GB2312"/>
          <w:b w:val="0"/>
          <w:color w:val="000000"/>
          <w:sz w:val="32"/>
          <w:szCs w:val="32"/>
        </w:rPr>
        <w:t>事故，造成</w:t>
      </w:r>
      <w:r>
        <w:rPr>
          <w:rFonts w:hint="eastAsia" w:ascii="仿宋_GB2312" w:hAnsi="仿宋_GB2312" w:eastAsia="仿宋_GB2312" w:cs="仿宋_GB2312"/>
          <w:b w:val="0"/>
          <w:color w:val="000000"/>
          <w:sz w:val="32"/>
          <w:szCs w:val="32"/>
          <w:lang w:val="en-US" w:eastAsia="zh-CN"/>
        </w:rPr>
        <w:t>1</w:t>
      </w:r>
      <w:r>
        <w:rPr>
          <w:rFonts w:hint="eastAsia" w:ascii="仿宋_GB2312" w:hAnsi="仿宋_GB2312" w:eastAsia="仿宋_GB2312" w:cs="仿宋_GB2312"/>
          <w:b w:val="0"/>
          <w:color w:val="000000"/>
          <w:sz w:val="32"/>
          <w:szCs w:val="32"/>
        </w:rPr>
        <w:t>人死亡,直接经济损失</w:t>
      </w:r>
      <w:r>
        <w:rPr>
          <w:rFonts w:hint="eastAsia" w:ascii="仿宋_GB2312" w:hAnsi="仿宋_GB2312" w:eastAsia="仿宋_GB2312" w:cs="仿宋_GB2312"/>
          <w:b w:val="0"/>
          <w:color w:val="auto"/>
          <w:sz w:val="32"/>
          <w:szCs w:val="32"/>
          <w:lang w:val="en-US" w:eastAsia="zh-CN"/>
        </w:rPr>
        <w:t>76</w:t>
      </w:r>
      <w:r>
        <w:rPr>
          <w:rFonts w:hint="eastAsia" w:ascii="仿宋_GB2312" w:hAnsi="仿宋_GB2312" w:eastAsia="仿宋_GB2312" w:cs="仿宋_GB2312"/>
          <w:b w:val="0"/>
          <w:color w:val="auto"/>
          <w:sz w:val="32"/>
          <w:szCs w:val="32"/>
        </w:rPr>
        <w:t>万元</w:t>
      </w:r>
      <w:r>
        <w:rPr>
          <w:rFonts w:hint="eastAsia" w:ascii="仿宋_GB2312" w:hAnsi="仿宋_GB2312" w:eastAsia="仿宋_GB2312" w:cs="仿宋_GB2312"/>
          <w:b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事故接报后，南川工业园区</w:t>
      </w:r>
      <w:r>
        <w:rPr>
          <w:rFonts w:hint="eastAsia" w:ascii="仿宋_GB2312" w:hAnsi="仿宋_GB2312" w:eastAsia="仿宋_GB2312" w:cs="仿宋_GB2312"/>
          <w:color w:val="auto"/>
          <w:sz w:val="32"/>
          <w:szCs w:val="32"/>
          <w:lang w:val="en-US" w:eastAsia="zh-CN"/>
        </w:rPr>
        <w:t>环境保护和安全生产监督管理分局</w:t>
      </w:r>
      <w:r>
        <w:rPr>
          <w:rFonts w:hint="eastAsia" w:ascii="仿宋_GB2312" w:hAnsi="仿宋_GB2312" w:eastAsia="仿宋_GB2312" w:cs="仿宋_GB2312"/>
          <w:sz w:val="32"/>
          <w:szCs w:val="32"/>
          <w:lang w:val="en-US" w:eastAsia="zh-CN"/>
        </w:rPr>
        <w:t>、消防救援大队、</w:t>
      </w:r>
      <w:r>
        <w:rPr>
          <w:rFonts w:hint="eastAsia" w:ascii="仿宋_GB2312" w:hAnsi="仿宋_GB2312" w:eastAsia="仿宋_GB2312" w:cs="仿宋_GB2312"/>
          <w:color w:val="auto"/>
          <w:sz w:val="32"/>
          <w:szCs w:val="32"/>
          <w:lang w:val="en-US" w:eastAsia="zh-CN"/>
        </w:rPr>
        <w:t>西宁市公安局南川工业园区公安分局</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部门</w:t>
      </w:r>
      <w:r>
        <w:rPr>
          <w:rFonts w:hint="eastAsia" w:ascii="仿宋_GB2312" w:hAnsi="仿宋_GB2312" w:eastAsia="仿宋_GB2312" w:cs="仿宋_GB2312"/>
          <w:sz w:val="32"/>
          <w:szCs w:val="32"/>
          <w:lang w:val="en-US" w:eastAsia="zh-CN"/>
        </w:rPr>
        <w:t>第一时间赶赴事故现场，组织开展救援</w:t>
      </w:r>
      <w:r>
        <w:rPr>
          <w:rFonts w:ascii="仿宋_GB2312" w:hAnsi="仿宋_GB2312" w:eastAsia="仿宋_GB2312" w:cs="仿宋_GB2312"/>
          <w:b w:val="0"/>
          <w:color w:val="000000"/>
          <w:sz w:val="32"/>
          <w:szCs w:val="32"/>
        </w:rPr>
        <w:t>和善后处置等工作</w:t>
      </w:r>
      <w:r>
        <w:rPr>
          <w:rFonts w:hint="eastAsia" w:ascii="仿宋_GB2312" w:hAnsi="仿宋_GB2312" w:eastAsia="仿宋_GB2312" w:cs="仿宋_GB2312"/>
          <w:sz w:val="32"/>
          <w:szCs w:val="32"/>
          <w:lang w:val="en-US" w:eastAsia="zh-CN"/>
        </w:rPr>
        <w:t>。西宁市安全生产委员会办公室对该起事故查处实行挂牌督办。</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bookmarkStart w:id="0" w:name="_Toc20290"/>
      <w:bookmarkStart w:id="1" w:name="_Toc29600"/>
      <w:bookmarkStart w:id="2" w:name="_Toc2452"/>
      <w:bookmarkStart w:id="3" w:name="_Toc8557"/>
      <w:r>
        <w:rPr>
          <w:rFonts w:hint="eastAsia" w:ascii="仿宋_GB2312" w:hAnsi="仿宋_GB2312" w:eastAsia="仿宋_GB2312" w:cs="仿宋_GB2312"/>
          <w:sz w:val="32"/>
          <w:szCs w:val="32"/>
          <w:lang w:val="en-US" w:eastAsia="zh-CN"/>
        </w:rPr>
        <w:t>根据《中华人民共和国安全生产法》《生产安全事故报告和调查处理条例》（国务院令第493号）等有关法律法规规定，西宁市城中区人民政府委托南川工业园区管理委员会，由中共西宁市城中区纪律检查委员会、城中区监察委员会、</w:t>
      </w:r>
      <w:r>
        <w:rPr>
          <w:rFonts w:hint="eastAsia" w:ascii="仿宋_GB2312" w:hAnsi="仿宋_GB2312" w:eastAsia="仿宋_GB2312" w:cs="仿宋_GB2312"/>
          <w:color w:val="auto"/>
          <w:sz w:val="32"/>
          <w:szCs w:val="32"/>
          <w:lang w:val="en-US" w:eastAsia="zh-CN"/>
        </w:rPr>
        <w:t>城中区人民检察院，南川工业园区环境保护和安全生产监督管理分局、规划建设和土地管理局、西宁市公安局南川工业园区公安分局、人力资源和社会事务管理局和工会</w:t>
      </w:r>
      <w:r>
        <w:rPr>
          <w:rFonts w:hint="eastAsia" w:ascii="仿宋_GB2312" w:hAnsi="仿宋_GB2312" w:eastAsia="仿宋_GB2312" w:cs="仿宋_GB2312"/>
          <w:sz w:val="32"/>
          <w:szCs w:val="32"/>
          <w:lang w:val="en-US" w:eastAsia="zh-CN"/>
        </w:rPr>
        <w:t>等有关部门和相关专家，成立青海晶威混凝土有限公司“11·24”一般坍塌生产安全事故调查组（以下简称事故调查组），</w:t>
      </w:r>
      <w:r>
        <w:rPr>
          <w:rFonts w:hint="eastAsia" w:ascii="仿宋_GB2312" w:hAnsi="仿宋_GB2312" w:eastAsia="仿宋_GB2312" w:cs="仿宋_GB2312"/>
          <w:color w:val="auto"/>
          <w:sz w:val="32"/>
          <w:szCs w:val="32"/>
          <w:lang w:val="en-US" w:eastAsia="zh-CN"/>
        </w:rPr>
        <w:t>全面开展事故调查处理工作，对事故原因进行调查分析。</w:t>
      </w:r>
      <w:bookmarkEnd w:id="0"/>
      <w:bookmarkEnd w:id="1"/>
      <w:bookmarkEnd w:id="2"/>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事故调查组按照“四不放过”“科学严谨、依法依规、实事求是、注重实效”的原则，通过现场勘查、调查取证、人员询问、调阅资料和综合分析等，查明了事故发生的经过和原因，以及事故应急救援、人员伤亡和直接经济损失情况，认定了事故性质和责任，提出了对相关责任单位和责任人员的处理建议、事故整改和防范措施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经调查认定，青海晶威混凝土有限公司“11·24”一般坍塌</w:t>
      </w:r>
      <w:r>
        <w:rPr>
          <w:rStyle w:val="20"/>
          <w:rFonts w:hint="eastAsia" w:ascii="仿宋_GB2312" w:hAnsi="仿宋_GB2312" w:eastAsia="仿宋_GB2312" w:cs="仿宋_GB2312"/>
          <w:color w:val="auto"/>
          <w:sz w:val="32"/>
          <w:szCs w:val="32"/>
          <w:lang w:val="en-US" w:eastAsia="zh-CN"/>
        </w:rPr>
        <w:t>[</w:t>
      </w:r>
      <w:r>
        <w:rPr>
          <w:rStyle w:val="20"/>
          <w:rFonts w:hint="eastAsia" w:ascii="仿宋_GB2312" w:hAnsi="仿宋_GB2312" w:eastAsia="仿宋_GB2312" w:cs="仿宋_GB2312"/>
          <w:color w:val="auto"/>
          <w:sz w:val="32"/>
          <w:szCs w:val="32"/>
          <w:lang w:val="en-US" w:eastAsia="zh-CN"/>
        </w:rPr>
        <w:footnoteReference w:id="0"/>
      </w:r>
      <w:r>
        <w:rPr>
          <w:rStyle w:val="20"/>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事故是一起因作业人员安全意识淡薄、违章操作、企业安全生产主体责任落实不到位、安全管理措施不到位等造成的一起一般坍塌生产安全责任事故</w:t>
      </w:r>
      <w:r>
        <w:rPr>
          <w:rStyle w:val="20"/>
          <w:rFonts w:hint="eastAsia" w:ascii="仿宋_GB2312" w:hAnsi="仿宋_GB2312" w:eastAsia="仿宋_GB2312" w:cs="仿宋_GB2312"/>
          <w:color w:val="auto"/>
          <w:sz w:val="32"/>
          <w:szCs w:val="32"/>
          <w:lang w:val="en-US" w:eastAsia="zh-CN"/>
        </w:rPr>
        <w:t>[</w:t>
      </w:r>
      <w:r>
        <w:rPr>
          <w:rStyle w:val="20"/>
          <w:rFonts w:hint="eastAsia" w:ascii="仿宋_GB2312" w:hAnsi="仿宋_GB2312" w:eastAsia="仿宋_GB2312" w:cs="仿宋_GB2312"/>
          <w:color w:val="auto"/>
          <w:sz w:val="32"/>
          <w:szCs w:val="32"/>
          <w:lang w:val="en-US" w:eastAsia="zh-CN"/>
        </w:rPr>
        <w:footnoteReference w:id="1"/>
      </w:r>
      <w:r>
        <w:rPr>
          <w:rStyle w:val="20"/>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w:t>
      </w:r>
    </w:p>
    <w:p>
      <w:pPr>
        <w:pStyle w:val="3"/>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lang w:val="en-US" w:eastAsia="zh-CN"/>
        </w:rPr>
      </w:pPr>
      <w:bookmarkStart w:id="4" w:name="_Toc15231"/>
      <w:bookmarkStart w:id="5" w:name="_Toc18812"/>
      <w:bookmarkStart w:id="6" w:name="_Toc25546"/>
      <w:r>
        <w:rPr>
          <w:rFonts w:hint="eastAsia"/>
          <w:lang w:val="en-US" w:eastAsia="zh-CN"/>
        </w:rPr>
        <w:t>一、事故有关情况</w:t>
      </w:r>
      <w:bookmarkEnd w:id="4"/>
      <w:bookmarkEnd w:id="5"/>
      <w:bookmarkEnd w:id="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bookmarkStart w:id="7" w:name="_Toc11365"/>
      <w:r>
        <w:rPr>
          <w:rStyle w:val="35"/>
          <w:rFonts w:hint="eastAsia"/>
          <w:lang w:val="en-US" w:eastAsia="zh-CN"/>
        </w:rPr>
        <w:t xml:space="preserve"> </w:t>
      </w:r>
      <w:bookmarkStart w:id="8" w:name="_Toc29714"/>
      <w:r>
        <w:rPr>
          <w:rStyle w:val="35"/>
          <w:rFonts w:hint="eastAsia" w:ascii="楷体_GB2312" w:hAnsi="楷体_GB2312" w:eastAsia="楷体_GB2312" w:cs="楷体_GB2312"/>
          <w:b w:val="0"/>
          <w:bCs w:val="0"/>
          <w:lang w:val="en-US" w:eastAsia="zh-CN"/>
        </w:rPr>
        <w:t>（一）事故发生单位概况</w:t>
      </w:r>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青海晶威混凝土有限公司（以下简称“晶威混凝土公司”）成立时间：2005年11月，法定代表人：洪某宁，主要负责人：杨某</w:t>
      </w:r>
      <w:bookmarkStart w:id="50" w:name="_GoBack"/>
      <w:bookmarkEnd w:id="50"/>
      <w:r>
        <w:rPr>
          <w:rFonts w:hint="eastAsia" w:ascii="仿宋_GB2312" w:hAnsi="仿宋_GB2312" w:eastAsia="仿宋_GB2312" w:cs="仿宋_GB2312"/>
          <w:sz w:val="32"/>
          <w:szCs w:val="32"/>
          <w:lang w:val="en-US" w:eastAsia="zh-CN"/>
        </w:rPr>
        <w:t>华，统一社会信用代码：91633300781400604U，地址：青海省西宁市城中区同安路119号，是一家经营混凝土搅拌、销售的民营企业。2024年6月取得《建筑业企业资质证书》，证书编号：D363009146，有效期至2029年6月。该公司现有职工48人，设有销售部、办公室、财务部、车队、生产部等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   </w:t>
      </w:r>
      <w:bookmarkStart w:id="9" w:name="_Toc13421"/>
      <w:bookmarkStart w:id="10" w:name="_Toc8125"/>
      <w:r>
        <w:rPr>
          <w:rStyle w:val="35"/>
          <w:rFonts w:hint="eastAsia" w:ascii="楷体_GB2312" w:hAnsi="楷体_GB2312" w:eastAsia="楷体_GB2312" w:cs="楷体_GB2312"/>
          <w:b w:val="0"/>
          <w:bCs w:val="0"/>
          <w:lang w:val="en-US" w:eastAsia="zh-CN"/>
        </w:rPr>
        <w:t>（二）事故发生单位安全管理情况</w:t>
      </w:r>
      <w:bookmarkEnd w:id="9"/>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1.生产规模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sz w:val="32"/>
          <w:szCs w:val="32"/>
          <w:lang w:val="en-US" w:eastAsia="zh-CN"/>
        </w:rPr>
        <w:t>晶威混凝土公司建设有120型搅拌楼和180型搅拌楼两座，两条现代化智能微机控制的混凝土生产线，生产量300m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/h，年生产力50万m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2.生产工艺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晶威混凝土公司</w:t>
      </w:r>
      <w:r>
        <w:rPr>
          <w:rFonts w:hint="eastAsia" w:ascii="仿宋_GB2312" w:hAnsi="仿宋_GB2312" w:eastAsia="仿宋_GB2312" w:cs="仿宋_GB2312"/>
          <w:b w:val="0"/>
          <w:bCs w:val="0"/>
          <w:color w:val="auto"/>
          <w:sz w:val="32"/>
          <w:szCs w:val="32"/>
          <w:lang w:val="en-US" w:eastAsia="zh-CN"/>
        </w:rPr>
        <w:t>为混凝土生产企业，原料砂、碎石、水泥和粉煤灰由汽车运输进厂，砂、碎石直接卸入原料堆场，水泥和粉煤灰由螺旋输送机输送至筒仓中待用。骨料配料时，打开料仓下的气动弧门给料器，骨料进入砂石秤斗称量，称量后的骨料经皮带输送机送至预加料斗、混合料斗进入密闭搅拌机中。水泥、外加剂等粉状物料通过螺旋输送机分别送入搅拌机上方的秤斗，按预设的比例称量后进入搅拌机中。水通过水泵、止回阀和管路进入水秤斗，称量后通过管路阀进入贮水斗，然后通过卸水管路进入搅拌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配比称量后的骨料、粉料、水、外加剂进入密闭混凝土搅拌机中，由搅拌机主轴带动搅拌叶片进行搅拌。搅拌均匀的混凝土经开阔下料门卸出。每台搅拌机有一个混凝土出料斗，安装在搅拌平台下部，搅拌车对好位置后，打开出料斗卸料门，将成品混凝土装入搅拌车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3.安全管理机构设置情况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该公司法定代表人洪</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lang w:val="en-US" w:eastAsia="zh-CN"/>
        </w:rPr>
        <w:t>宁于2024年3月1日授权杨</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lang w:val="en-US" w:eastAsia="zh-CN"/>
        </w:rPr>
        <w:t>华全权负责公司事务，3月20日以该公司红文形式任命杨</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sz w:val="32"/>
          <w:szCs w:val="32"/>
          <w:lang w:val="en-US" w:eastAsia="zh-CN"/>
        </w:rPr>
        <w:t>华为主要负责人。</w:t>
      </w:r>
      <w:r>
        <w:rPr>
          <w:rFonts w:hint="eastAsia" w:ascii="仿宋_GB2312" w:hAnsi="仿宋_GB2312" w:eastAsia="仿宋_GB2312" w:cs="仿宋_GB2312"/>
          <w:color w:val="auto"/>
          <w:sz w:val="32"/>
          <w:szCs w:val="32"/>
          <w:lang w:val="en-US" w:eastAsia="zh-CN"/>
        </w:rPr>
        <w:t>该公司成立安全生产领导小组，在生产部下设了安全环保部，安全环保部设一名兼职安全生产管理人员赵</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4.安全管理制度建立情况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该公司制订有《安全生产目标管理制度》、《安全生产责任制》、《安全生产检查制度》、《安全生产教育培训管理制度》、《安全生产费用提取和使用管理制度》等制度，未制定辅助工岗位的安全生产责任制和</w:t>
      </w:r>
      <w:r>
        <w:rPr>
          <w:rFonts w:hint="eastAsia" w:ascii="仿宋_GB2312" w:hAnsi="仿宋_GB2312" w:eastAsia="仿宋_GB2312" w:cs="仿宋_GB2312"/>
          <w:color w:val="auto"/>
          <w:sz w:val="32"/>
          <w:szCs w:val="32"/>
          <w:lang w:val="en-US" w:eastAsia="zh-CN"/>
        </w:rPr>
        <w:t>操作规程。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5.应急救援预案及演练情况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公司编制了《青海晶威混凝土有限公司生产安全事故应急预案》，于2024年4月份组织有限空间四类人员开展窒息事故现场处置应急演练，于2024年7月份组织员工开展防洪防汛专项应急演练，2024年未开展坍塌事故现场处置方案演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6.员工安全教育培训情况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公司对事故死亡人员任某福在入职时未进行三级教育培训，未经考核合格后上岗。2024年对事故死亡人员任某福进行安全培训的记录共计4次，即：7月17日职业病危害防治培训、8月21日消防安全知识培训、9月2日工贸企业重大事故隐患判定标准培训、10月18日冬季施工安全培训及用电安全培训，未培训安全生产规章制度和安全操作规程，未告知作业场所和工作岗位存在的危险因素、防范措施以及事故应急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7.安全风险管控和隐患排查治理方面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公司未辨识出4号料仓存在坍塌安全风险。制定了《安全生产检查制度》，按照制度规定，该公司需采用综合检查、专业检查、季节性检查、日常检查等方式开展隐患排查。经查2024年1月份至事故发生时，由安全管理人员开展各类隐患检查17次，共发现问题隐患16条，未发现重大事故隐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 xml:space="preserve">   </w:t>
      </w:r>
      <w:bookmarkStart w:id="11" w:name="_Toc19106"/>
      <w:bookmarkStart w:id="12" w:name="_Toc22906"/>
      <w:r>
        <w:rPr>
          <w:rStyle w:val="35"/>
          <w:rFonts w:hint="eastAsia" w:ascii="楷体_GB2312" w:hAnsi="楷体_GB2312" w:eastAsia="楷体_GB2312" w:cs="楷体_GB2312"/>
          <w:b w:val="0"/>
          <w:bCs w:val="0"/>
          <w:lang w:val="en-US" w:eastAsia="zh-CN"/>
        </w:rPr>
        <w:t>（三）事故发生经过</w:t>
      </w:r>
      <w:bookmarkEnd w:id="11"/>
      <w:bookmarkEnd w:id="1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11月24日10时30分许，生产管理控制系统操作员在操作中发现搅拌机（4号配料仓）堵塞，通过对讲机喊话要求进行清理。10时50分许，辅助工史</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林喊死者任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福去清理搅拌机，但未在宿舍发现任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福便独自去清理。11时10分许，机电工史</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科、装载机司机李</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吃完午饭遇见史</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林已清理完搅拌机去吃午饭。11时30分许，史</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林、史</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科、李</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等人发现任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福不在宿舍，于是通知生产部主管王</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慎、销售部经理虞</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涛一起寻找，一直寻找至14点40分许，发现原料堆场4号料堆上面覆盖的雪有异样，随即李</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操作装载机从沙堆底部慢慢铲砂子，铲的过程中发现了任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福，随即王</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慎拨打120和110救援电话，120急救人员现场确认任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福已无生命体征，确认死亡。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Style w:val="35"/>
          <w:rFonts w:hint="eastAsia"/>
          <w:lang w:val="en-US" w:eastAsia="zh-CN"/>
        </w:rPr>
      </w:pPr>
      <w:r>
        <w:rPr>
          <w:rStyle w:val="35"/>
          <w:rFonts w:hint="eastAsia"/>
          <w:lang w:val="en-US" w:eastAsia="zh-CN"/>
        </w:rPr>
        <w:t xml:space="preserve">   </w:t>
      </w:r>
      <w:bookmarkStart w:id="13" w:name="_Toc28595"/>
      <w:r>
        <w:rPr>
          <w:rStyle w:val="35"/>
          <w:rFonts w:hint="eastAsia" w:ascii="楷体_GB2312" w:hAnsi="楷体_GB2312" w:eastAsia="楷体_GB2312" w:cs="楷体_GB2312"/>
          <w:b w:val="0"/>
          <w:bCs w:val="0"/>
          <w:lang w:val="en-US" w:eastAsia="zh-CN"/>
        </w:rPr>
        <w:t>（四）事故现场情况</w:t>
      </w:r>
    </w:p>
    <w:bookmarkEnd w:id="13"/>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事故发生地点4号料仓在原料堆场内，</w:t>
      </w:r>
      <w:r>
        <w:rPr>
          <w:rFonts w:hint="eastAsia" w:ascii="仿宋_GB2312" w:hAnsi="仿宋_GB2312" w:eastAsia="仿宋_GB2312" w:cs="仿宋_GB2312"/>
          <w:color w:val="auto"/>
          <w:sz w:val="32"/>
          <w:szCs w:val="32"/>
          <w:vertAlign w:val="baseline"/>
          <w:lang w:val="en-US" w:eastAsia="zh-CN"/>
        </w:rPr>
        <w:t>东南向布置，料仓三面围墙，结构为砂混结构，料仓内的砂石料露天堆放。事故发生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后对现场勘验：4号料仓围墙高2.5m，堆料高2.1m、南北宽2.76m,东西长9.83m。料仓下方为配料仓料斗，呈漏斗形，高度为3m，上口最大宽度1.8m。4号料仓东北侧为厂区围墙，间距7.4m；西南侧为一座彩钢板房，房内为另一条生产线的配料仓、振动料斗和皮带输送机等设备，距4号料仓11m。</w:t>
      </w:r>
      <w:r>
        <w:rPr>
          <w:rFonts w:hint="eastAsia" w:ascii="仿宋_GB2312" w:hAnsi="仿宋_GB2312" w:eastAsia="仿宋_GB2312" w:cs="仿宋_GB2312"/>
          <w:color w:val="auto"/>
          <w:sz w:val="32"/>
          <w:szCs w:val="32"/>
          <w:lang w:val="en-US" w:eastAsia="zh-CN"/>
        </w:rPr>
        <w:t>原料堆场、4号料仓</w:t>
      </w:r>
      <w:r>
        <w:rPr>
          <w:rFonts w:hint="eastAsia" w:ascii="仿宋_GB2312" w:hAnsi="仿宋_GB2312" w:eastAsia="仿宋_GB2312" w:cs="仿宋_GB2312"/>
          <w:color w:val="auto"/>
          <w:sz w:val="32"/>
          <w:szCs w:val="32"/>
          <w:vertAlign w:val="baseline"/>
          <w:lang w:val="en-US" w:eastAsia="zh-CN"/>
        </w:rPr>
        <w:t>未设安全警示标志。</w:t>
      </w:r>
    </w:p>
    <w:p>
      <w:pPr>
        <w:pStyle w:val="2"/>
        <w:rPr>
          <w:rFonts w:hint="eastAsia" w:ascii="仿宋_GB2312" w:hAnsi="仿宋_GB2312" w:eastAsia="仿宋_GB2312" w:cs="仿宋_GB2312"/>
          <w:color w:val="auto"/>
          <w:sz w:val="32"/>
          <w:szCs w:val="32"/>
          <w:vertAlign w:val="baseline"/>
          <w:lang w:val="en-US" w:eastAsia="zh-CN"/>
        </w:rPr>
      </w:pPr>
    </w:p>
    <w:p>
      <w:pPr>
        <w:rPr>
          <w:rFonts w:hint="eastAsia" w:ascii="仿宋_GB2312" w:hAnsi="仿宋_GB2312" w:eastAsia="仿宋_GB2312" w:cs="仿宋_GB2312"/>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drawing>
          <wp:anchor distT="0" distB="0" distL="114300" distR="114300" simplePos="0" relativeHeight="251659264" behindDoc="0" locked="0" layoutInCell="1" allowOverlap="1">
            <wp:simplePos x="0" y="0"/>
            <wp:positionH relativeFrom="column">
              <wp:posOffset>412750</wp:posOffset>
            </wp:positionH>
            <wp:positionV relativeFrom="paragraph">
              <wp:posOffset>95885</wp:posOffset>
            </wp:positionV>
            <wp:extent cx="4901565" cy="2893060"/>
            <wp:effectExtent l="9525" t="9525" r="11430" b="23495"/>
            <wp:wrapNone/>
            <wp:docPr id="7" name="图片 7" descr="ad9c054e33bd0a5a67f5e7746ecda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d9c054e33bd0a5a67f5e7746ecdaec"/>
                    <pic:cNvPicPr>
                      <a:picLocks noChangeAspect="1"/>
                    </pic:cNvPicPr>
                  </pic:nvPicPr>
                  <pic:blipFill>
                    <a:blip r:embed="rId7"/>
                    <a:stretch>
                      <a:fillRect/>
                    </a:stretch>
                  </pic:blipFill>
                  <pic:spPr>
                    <a:xfrm>
                      <a:off x="0" y="0"/>
                      <a:ext cx="4901565" cy="2893060"/>
                    </a:xfrm>
                    <a:prstGeom prst="rect">
                      <a:avLst/>
                    </a:prstGeom>
                    <a:ln w="9525" cmpd="sng">
                      <a:solidFill>
                        <a:schemeClr val="tx1"/>
                      </a:solidFill>
                      <a:prstDash val="solid"/>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drawing>
          <wp:anchor distT="0" distB="0" distL="114300" distR="114300" simplePos="0" relativeHeight="251661312" behindDoc="1" locked="0" layoutInCell="1" allowOverlap="1">
            <wp:simplePos x="0" y="0"/>
            <wp:positionH relativeFrom="column">
              <wp:posOffset>417195</wp:posOffset>
            </wp:positionH>
            <wp:positionV relativeFrom="paragraph">
              <wp:posOffset>240030</wp:posOffset>
            </wp:positionV>
            <wp:extent cx="4872990" cy="3044825"/>
            <wp:effectExtent l="9525" t="9525" r="9525" b="24130"/>
            <wp:wrapTight wrapText="bothSides">
              <wp:wrapPolygon>
                <wp:start x="-42" y="-68"/>
                <wp:lineTo x="-42" y="21555"/>
                <wp:lineTo x="21575" y="21555"/>
                <wp:lineTo x="21575" y="-68"/>
                <wp:lineTo x="-42" y="-68"/>
              </wp:wrapPolygon>
            </wp:wrapTight>
            <wp:docPr id="8" name="图片 8" descr="微信图片_20241206171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1206171350"/>
                    <pic:cNvPicPr>
                      <a:picLocks noChangeAspect="1"/>
                    </pic:cNvPicPr>
                  </pic:nvPicPr>
                  <pic:blipFill>
                    <a:blip r:embed="rId8"/>
                    <a:stretch>
                      <a:fillRect/>
                    </a:stretch>
                  </pic:blipFill>
                  <pic:spPr>
                    <a:xfrm>
                      <a:off x="0" y="0"/>
                      <a:ext cx="4872990" cy="3044825"/>
                    </a:xfrm>
                    <a:prstGeom prst="rect">
                      <a:avLst/>
                    </a:prstGeom>
                    <a:ln>
                      <a:solidFill>
                        <a:schemeClr val="tx1"/>
                      </a:solidFill>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图1                事故现场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原料堆场面积约4510m</w:t>
      </w:r>
      <w:r>
        <w:rPr>
          <w:rFonts w:hint="eastAsia" w:ascii="仿宋_GB2312" w:hAnsi="仿宋_GB2312" w:eastAsia="仿宋_GB2312" w:cs="仿宋_GB2312"/>
          <w:color w:val="auto"/>
          <w:sz w:val="32"/>
          <w:szCs w:val="32"/>
          <w:vertAlign w:val="superscript"/>
          <w:lang w:val="en-US" w:eastAsia="zh-CN"/>
        </w:rPr>
        <w:t>2</w:t>
      </w:r>
      <w:r>
        <w:rPr>
          <w:rFonts w:hint="eastAsia" w:ascii="仿宋_GB2312" w:hAnsi="仿宋_GB2312" w:eastAsia="仿宋_GB2312" w:cs="仿宋_GB2312"/>
          <w:color w:val="auto"/>
          <w:sz w:val="32"/>
          <w:szCs w:val="32"/>
          <w:vertAlign w:val="subscript"/>
          <w:lang w:val="en-US" w:eastAsia="zh-CN"/>
        </w:rPr>
        <w:t xml:space="preserve">。 </w:t>
      </w:r>
      <w:r>
        <w:rPr>
          <w:rFonts w:hint="eastAsia" w:ascii="仿宋_GB2312" w:hAnsi="仿宋_GB2312" w:eastAsia="仿宋_GB2312" w:cs="仿宋_GB2312"/>
          <w:color w:val="auto"/>
          <w:sz w:val="32"/>
          <w:szCs w:val="32"/>
          <w:vertAlign w:val="baseline"/>
          <w:lang w:val="en-US" w:eastAsia="zh-CN"/>
        </w:rPr>
        <w:t xml:space="preserve"> 原料堆场工艺包括：卸料、堆料、上料3项工序，</w:t>
      </w:r>
      <w:r>
        <w:rPr>
          <w:rFonts w:hint="eastAsia" w:ascii="仿宋_GB2312" w:hAnsi="仿宋_GB2312" w:eastAsia="仿宋_GB2312" w:cs="仿宋_GB2312"/>
          <w:b w:val="0"/>
          <w:bCs w:val="0"/>
          <w:color w:val="auto"/>
          <w:sz w:val="32"/>
          <w:szCs w:val="32"/>
          <w:lang w:val="en-US" w:eastAsia="zh-CN"/>
        </w:rPr>
        <w:t>砂、碎石</w:t>
      </w:r>
      <w:r>
        <w:rPr>
          <w:rFonts w:hint="eastAsia" w:ascii="仿宋_GB2312" w:hAnsi="仿宋_GB2312" w:eastAsia="仿宋_GB2312" w:cs="仿宋_GB2312"/>
          <w:color w:val="auto"/>
          <w:sz w:val="32"/>
          <w:szCs w:val="32"/>
          <w:vertAlign w:val="baseline"/>
          <w:lang w:val="en-US" w:eastAsia="zh-CN"/>
        </w:rPr>
        <w:t>上料口位于料场，便于上料。砂、碎石由汽车运输进厂，直接卸入原料堆场内，再由装载机转运入配料仓，砂、碎石经配料仓、振动料斗、皮带输送机输送至搅拌楼筒仓中待用。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drawing>
          <wp:anchor distT="0" distB="0" distL="114300" distR="114300" simplePos="0" relativeHeight="251660288" behindDoc="1" locked="0" layoutInCell="1" allowOverlap="1">
            <wp:simplePos x="0" y="0"/>
            <wp:positionH relativeFrom="column">
              <wp:posOffset>965835</wp:posOffset>
            </wp:positionH>
            <wp:positionV relativeFrom="paragraph">
              <wp:posOffset>21590</wp:posOffset>
            </wp:positionV>
            <wp:extent cx="3884295" cy="2095500"/>
            <wp:effectExtent l="9525" t="9525" r="22860" b="13335"/>
            <wp:wrapTight wrapText="bothSides">
              <wp:wrapPolygon>
                <wp:start x="-53" y="-98"/>
                <wp:lineTo x="-53" y="21580"/>
                <wp:lineTo x="21558" y="21580"/>
                <wp:lineTo x="21558" y="-98"/>
                <wp:lineTo x="-53" y="-98"/>
              </wp:wrapPolygon>
            </wp:wrapTight>
            <wp:docPr id="9" name="图片 9" descr="173457749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34577497926"/>
                    <pic:cNvPicPr>
                      <a:picLocks noChangeAspect="1"/>
                    </pic:cNvPicPr>
                  </pic:nvPicPr>
                  <pic:blipFill>
                    <a:blip r:embed="rId9"/>
                    <a:srcRect b="17647"/>
                    <a:stretch>
                      <a:fillRect/>
                    </a:stretch>
                  </pic:blipFill>
                  <pic:spPr>
                    <a:xfrm>
                      <a:off x="0" y="0"/>
                      <a:ext cx="3884295" cy="2095500"/>
                    </a:xfrm>
                    <a:prstGeom prst="rect">
                      <a:avLst/>
                    </a:prstGeom>
                    <a:ln w="9525" cmpd="sng">
                      <a:solidFill>
                        <a:schemeClr val="tx1"/>
                      </a:solidFill>
                      <a:prstDash val="solid"/>
                    </a:ln>
                  </pic:spPr>
                </pic:pic>
              </a:graphicData>
            </a:graphic>
          </wp:anchor>
        </w:drawing>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 xml:space="preserve">          图2        事故发生设备示意图</w:t>
      </w:r>
    </w:p>
    <w:p>
      <w:pPr>
        <w:pStyle w:val="4"/>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1"/>
        <w:rPr>
          <w:rFonts w:hint="eastAsia" w:ascii="楷体_GB2312" w:hAnsi="楷体_GB2312" w:eastAsia="楷体_GB2312" w:cs="楷体_GB2312"/>
          <w:b w:val="0"/>
          <w:bCs w:val="0"/>
          <w:lang w:val="en-US" w:eastAsia="zh-CN"/>
        </w:rPr>
      </w:pPr>
      <w:bookmarkStart w:id="14" w:name="_Toc19156"/>
      <w:r>
        <w:rPr>
          <w:rFonts w:hint="eastAsia"/>
          <w:lang w:val="en-US" w:eastAsia="zh-CN"/>
        </w:rPr>
        <w:t xml:space="preserve">   </w:t>
      </w:r>
      <w:bookmarkStart w:id="15" w:name="_Toc16622"/>
      <w:r>
        <w:rPr>
          <w:rFonts w:hint="eastAsia" w:ascii="楷体_GB2312" w:hAnsi="楷体_GB2312" w:eastAsia="楷体_GB2312" w:cs="楷体_GB2312"/>
          <w:b w:val="0"/>
          <w:bCs w:val="0"/>
          <w:lang w:val="en-US" w:eastAsia="zh-CN"/>
        </w:rPr>
        <w:t>（五）人员伤亡和直接经济损失情况</w:t>
      </w:r>
      <w:bookmarkEnd w:id="14"/>
      <w:bookmarkEnd w:id="1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事故造成1人死亡，事故死亡人员情况：任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福，辅助工，男，汉族，1970年生，身份证号：63212419700728****，户籍住址：西宁市城中区总寨镇清水锦苑小区，当场死亡。根据《企业职工伤亡事故经济损失统计标准》（GB/T 6721）核定，事故造成直接经济损失约为人民币76万元。</w:t>
      </w:r>
    </w:p>
    <w:p>
      <w:pPr>
        <w:pStyle w:val="3"/>
        <w:rPr>
          <w:rFonts w:hint="eastAsia"/>
          <w:lang w:val="en-US" w:eastAsia="zh-CN"/>
        </w:rPr>
      </w:pPr>
      <w:bookmarkStart w:id="16" w:name="_Toc14805"/>
      <w:bookmarkStart w:id="17" w:name="_Toc19828"/>
      <w:bookmarkStart w:id="18" w:name="_Toc14051"/>
      <w:r>
        <w:rPr>
          <w:rFonts w:hint="eastAsia"/>
          <w:lang w:val="en-US" w:eastAsia="zh-CN"/>
        </w:rPr>
        <w:t>二、事故应急处置情况</w:t>
      </w:r>
      <w:bookmarkEnd w:id="16"/>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事故发生后，晶威混凝土公司生产部主管</w:t>
      </w:r>
      <w:r>
        <w:rPr>
          <w:rFonts w:hint="eastAsia" w:ascii="仿宋_GB2312" w:hAnsi="仿宋_GB2312" w:eastAsia="仿宋_GB2312" w:cs="仿宋_GB2312"/>
          <w:color w:val="auto"/>
          <w:sz w:val="32"/>
          <w:szCs w:val="32"/>
          <w:lang w:val="en-US" w:eastAsia="zh-CN"/>
        </w:rPr>
        <w:t>王</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慎</w:t>
      </w:r>
      <w:r>
        <w:rPr>
          <w:rFonts w:hint="eastAsia" w:ascii="仿宋_GB2312" w:hAnsi="仿宋_GB2312" w:eastAsia="仿宋_GB2312" w:cs="仿宋_GB2312"/>
          <w:sz w:val="32"/>
          <w:szCs w:val="32"/>
          <w:lang w:val="en-US" w:eastAsia="zh-CN"/>
        </w:rPr>
        <w:t>立即拨打119和120请求救援，并向公司主要负责人杨某华电话报告事故情况；晶威混凝土公司主要负责人杨某华、安全管理人员赵某等人接报后立即赶到事故现场；晶威混凝土公司于15时20分，向南川工业园区</w:t>
      </w:r>
      <w:r>
        <w:rPr>
          <w:rFonts w:hint="eastAsia" w:ascii="仿宋_GB2312" w:hAnsi="仿宋_GB2312" w:eastAsia="仿宋_GB2312" w:cs="仿宋_GB2312"/>
          <w:color w:val="auto"/>
          <w:sz w:val="32"/>
          <w:szCs w:val="32"/>
          <w:lang w:val="en-US" w:eastAsia="zh-CN"/>
        </w:rPr>
        <w:t>环境保护和安全生产监督管理分局</w:t>
      </w:r>
      <w:r>
        <w:rPr>
          <w:rFonts w:hint="eastAsia" w:ascii="仿宋_GB2312" w:hAnsi="仿宋_GB2312" w:eastAsia="仿宋_GB2312" w:cs="仿宋_GB2312"/>
          <w:sz w:val="32"/>
          <w:szCs w:val="32"/>
          <w:lang w:val="en-US" w:eastAsia="zh-CN"/>
        </w:rPr>
        <w:t>报告事故基本情况；15时30分许，南川消防救援大队、</w:t>
      </w:r>
      <w:r>
        <w:rPr>
          <w:rFonts w:hint="eastAsia" w:ascii="仿宋_GB2312" w:hAnsi="仿宋_GB2312" w:eastAsia="仿宋_GB2312" w:cs="仿宋_GB2312"/>
          <w:color w:val="auto"/>
          <w:sz w:val="32"/>
          <w:szCs w:val="32"/>
          <w:lang w:val="en-US" w:eastAsia="zh-CN"/>
        </w:rPr>
        <w:t>西宁市公安局南川工业园区公安分局</w:t>
      </w:r>
      <w:r>
        <w:rPr>
          <w:rFonts w:hint="eastAsia" w:ascii="仿宋_GB2312" w:hAnsi="仿宋_GB2312" w:eastAsia="仿宋_GB2312" w:cs="仿宋_GB2312"/>
          <w:sz w:val="32"/>
          <w:szCs w:val="32"/>
          <w:lang w:val="en-US" w:eastAsia="zh-CN"/>
        </w:rPr>
        <w:t>、南川工业园区</w:t>
      </w:r>
      <w:r>
        <w:rPr>
          <w:rFonts w:hint="eastAsia" w:ascii="仿宋_GB2312" w:hAnsi="仿宋_GB2312" w:eastAsia="仿宋_GB2312" w:cs="仿宋_GB2312"/>
          <w:color w:val="auto"/>
          <w:sz w:val="32"/>
          <w:szCs w:val="32"/>
          <w:lang w:val="en-US" w:eastAsia="zh-CN"/>
        </w:rPr>
        <w:t>环境保护和安全生产监督管理分局</w:t>
      </w:r>
      <w:r>
        <w:rPr>
          <w:rFonts w:hint="eastAsia" w:ascii="仿宋_GB2312" w:hAnsi="仿宋_GB2312" w:eastAsia="仿宋_GB2312" w:cs="仿宋_GB2312"/>
          <w:sz w:val="32"/>
          <w:szCs w:val="32"/>
          <w:lang w:val="en-US" w:eastAsia="zh-CN"/>
        </w:rPr>
        <w:t>等部门接报后立即赶赴现场。南川工业园区</w:t>
      </w:r>
      <w:r>
        <w:rPr>
          <w:rFonts w:hint="eastAsia" w:ascii="仿宋_GB2312" w:hAnsi="仿宋_GB2312" w:eastAsia="仿宋_GB2312" w:cs="仿宋_GB2312"/>
          <w:color w:val="auto"/>
          <w:sz w:val="32"/>
          <w:szCs w:val="32"/>
          <w:lang w:val="en-US" w:eastAsia="zh-CN"/>
        </w:rPr>
        <w:t>环境保护和安全生产监督管理分局</w:t>
      </w:r>
      <w:r>
        <w:rPr>
          <w:rFonts w:hint="eastAsia" w:ascii="仿宋_GB2312" w:hAnsi="仿宋_GB2312" w:eastAsia="仿宋_GB2312" w:cs="仿宋_GB2312"/>
          <w:sz w:val="32"/>
          <w:szCs w:val="32"/>
          <w:lang w:val="en-US" w:eastAsia="zh-CN"/>
        </w:rPr>
        <w:t>对事故情况进行初步核实后于当日16时20分向西宁市应急局值班室报告事故基本情况。</w:t>
      </w:r>
    </w:p>
    <w:p>
      <w:pPr>
        <w:pStyle w:val="3"/>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rPr>
          <w:rFonts w:hint="eastAsia"/>
          <w:lang w:val="en-US" w:eastAsia="zh-CN"/>
        </w:rPr>
      </w:pPr>
      <w:bookmarkStart w:id="19" w:name="_Toc6390"/>
      <w:bookmarkStart w:id="20" w:name="_Toc4324"/>
      <w:bookmarkStart w:id="21" w:name="_Toc22340"/>
      <w:r>
        <w:rPr>
          <w:rFonts w:hint="eastAsia"/>
          <w:lang w:val="en-US" w:eastAsia="zh-CN"/>
        </w:rPr>
        <w:t>三、事故原因分析</w:t>
      </w:r>
      <w:bookmarkEnd w:id="19"/>
      <w:bookmarkEnd w:id="20"/>
      <w:bookmarkEnd w:id="21"/>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楷体_GB2312" w:hAnsi="楷体_GB2312" w:eastAsia="楷体_GB2312" w:cs="楷体_GB2312"/>
          <w:b w:val="0"/>
          <w:bCs w:val="0"/>
          <w:lang w:val="en-US" w:eastAsia="zh-CN"/>
        </w:rPr>
      </w:pPr>
      <w:bookmarkStart w:id="22" w:name="_Toc29144"/>
      <w:bookmarkStart w:id="23" w:name="_Toc30201"/>
      <w:r>
        <w:rPr>
          <w:rFonts w:hint="eastAsia" w:ascii="楷体_GB2312" w:hAnsi="楷体_GB2312" w:eastAsia="楷体_GB2312" w:cs="楷体_GB2312"/>
          <w:b w:val="0"/>
          <w:bCs w:val="0"/>
          <w:lang w:val="en-US" w:eastAsia="zh-CN"/>
        </w:rPr>
        <w:t>（一）直接原因分析</w:t>
      </w:r>
      <w:bookmarkEnd w:id="22"/>
      <w:bookmarkEnd w:id="2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事故现场无视频监控、无目击证人，事故调查组多方调查、研究、取证，经综合分析事故的直接原因是：辅助工任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违章操作，站在4号料仓下料箅子上方料堆，使用长2.48m、直径15mm的铁棒对配料仓内堵塞的砂石料进行疏通作业时，砂石料突然下料导致任某福下陷至下料箅子处，四周砂石料迅速向配料仓进料形成流沙状，将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福掩埋致机械性窒息死亡。</w:t>
      </w:r>
    </w:p>
    <w:p>
      <w:pPr>
        <w:pStyle w:val="4"/>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rightChars="0" w:firstLine="640" w:firstLineChars="200"/>
        <w:jc w:val="both"/>
        <w:textAlignment w:val="auto"/>
        <w:rPr>
          <w:rFonts w:hint="eastAsia" w:ascii="楷体_GB2312" w:hAnsi="楷体_GB2312" w:eastAsia="楷体_GB2312" w:cs="楷体_GB2312"/>
          <w:b w:val="0"/>
          <w:bCs w:val="0"/>
          <w:lang w:val="en-US" w:eastAsia="zh-CN"/>
        </w:rPr>
      </w:pPr>
      <w:bookmarkStart w:id="24" w:name="_Toc13130"/>
      <w:bookmarkStart w:id="25" w:name="_Toc26536"/>
      <w:r>
        <w:rPr>
          <w:rFonts w:hint="eastAsia" w:ascii="楷体_GB2312" w:hAnsi="楷体_GB2312" w:eastAsia="楷体_GB2312" w:cs="楷体_GB2312"/>
          <w:b w:val="0"/>
          <w:bCs w:val="0"/>
          <w:lang w:val="en-US" w:eastAsia="zh-CN"/>
        </w:rPr>
        <w:t>（二）其他可能因素排除</w:t>
      </w:r>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通过死者任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auto"/>
          <w:sz w:val="32"/>
          <w:szCs w:val="32"/>
          <w:lang w:val="en-US" w:eastAsia="zh-CN"/>
        </w:rPr>
        <w:t>福尸检报告，排除身体疾病导致的事故发生。</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themeColor="text1"/>
          <w:lang w:val="en-US" w:eastAsia="zh-CN"/>
          <w14:textFill>
            <w14:solidFill>
              <w14:schemeClr w14:val="tx1"/>
            </w14:solidFill>
          </w14:textFill>
        </w:rPr>
      </w:pPr>
      <w:bookmarkStart w:id="26" w:name="_Toc19329"/>
      <w:r>
        <w:rPr>
          <w:rFonts w:hint="eastAsia" w:ascii="楷体_GB2312" w:hAnsi="楷体_GB2312" w:eastAsia="楷体_GB2312" w:cs="楷体_GB2312"/>
          <w:b w:val="0"/>
          <w:bCs w:val="0"/>
          <w:color w:val="000000" w:themeColor="text1"/>
          <w:lang w:val="en-US" w:eastAsia="zh-CN"/>
          <w14:textFill>
            <w14:solidFill>
              <w14:schemeClr w14:val="tx1"/>
            </w14:solidFill>
          </w14:textFill>
        </w:rPr>
        <w:t>间接原因</w:t>
      </w:r>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晶威混凝土公司未全面辨识生产工艺安全风险，事故现场未设置明显的安全警示标志，对死者任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福安全生产教育和培训不到位，未告知作业场所和工作岗位存在的危险因素、防范措施以及事故应急措施，导致任某福安全意识淡薄，在作业过程中违章操作，最终导致事故发生。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rPr>
          <w:rFonts w:hint="eastAsia" w:ascii="黑体" w:hAnsi="黑体" w:eastAsia="黑体" w:cs="黑体"/>
          <w:b w:val="0"/>
          <w:bCs/>
          <w:color w:val="000000"/>
          <w:sz w:val="31"/>
          <w:szCs w:val="31"/>
        </w:rPr>
      </w:pPr>
      <w:r>
        <w:rPr>
          <w:rFonts w:hint="eastAsia" w:ascii="黑体" w:hAnsi="宋体" w:eastAsia="黑体" w:cs="黑体"/>
          <w:b w:val="0"/>
          <w:bCs/>
          <w:color w:val="000000"/>
          <w:sz w:val="31"/>
          <w:szCs w:val="31"/>
          <w:lang w:val="en-US" w:eastAsia="zh-CN"/>
        </w:rPr>
        <w:t xml:space="preserve"> </w:t>
      </w:r>
      <w:bookmarkStart w:id="27" w:name="_Toc20041"/>
      <w:bookmarkStart w:id="28" w:name="_Toc11889"/>
      <w:bookmarkStart w:id="29" w:name="_Toc1406"/>
      <w:r>
        <w:rPr>
          <w:rStyle w:val="36"/>
          <w:rFonts w:hint="eastAsia"/>
          <w:lang w:eastAsia="zh-CN"/>
        </w:rPr>
        <w:t>四、事故责任</w:t>
      </w:r>
      <w:r>
        <w:rPr>
          <w:rStyle w:val="36"/>
          <w:rFonts w:hint="eastAsia"/>
        </w:rPr>
        <w:t>单位存在的主要问题</w:t>
      </w:r>
      <w:bookmarkEnd w:id="27"/>
      <w:bookmarkEnd w:id="28"/>
      <w:bookmarkEnd w:id="2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bookmarkStart w:id="30" w:name="_Toc105"/>
      <w:bookmarkStart w:id="31" w:name="_Toc6875"/>
      <w:r>
        <w:rPr>
          <w:rStyle w:val="35"/>
          <w:rFonts w:hint="eastAsia" w:ascii="楷体_GB2312" w:hAnsi="楷体_GB2312" w:eastAsia="楷体_GB2312" w:cs="楷体_GB2312"/>
          <w:b w:val="0"/>
          <w:bCs w:val="0"/>
          <w:lang w:val="en-US" w:eastAsia="zh-CN"/>
        </w:rPr>
        <w:t>（一）未健全企业安全生产管理体系</w:t>
      </w:r>
      <w:bookmarkEnd w:id="30"/>
      <w:bookmarkEnd w:id="3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晶威混凝土公司在生产部下设安全环保部，安全环保部仅一名兼职安全生产管理人员赵某，负责该公司行政、人事、消防、安全、环保等多项工作。该公司未配备专职安全管理人员，未制定辅助工岗位的安全生产责任制和</w:t>
      </w:r>
      <w:r>
        <w:rPr>
          <w:rFonts w:hint="eastAsia" w:ascii="仿宋_GB2312" w:hAnsi="仿宋_GB2312" w:eastAsia="仿宋_GB2312" w:cs="仿宋_GB2312"/>
          <w:color w:val="auto"/>
          <w:sz w:val="32"/>
          <w:szCs w:val="32"/>
          <w:lang w:val="en-US" w:eastAsia="zh-CN"/>
        </w:rPr>
        <w:t>操作规程。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bookmarkStart w:id="32" w:name="_Toc10832"/>
      <w:bookmarkStart w:id="33" w:name="_Toc30603"/>
      <w:r>
        <w:rPr>
          <w:rStyle w:val="35"/>
          <w:rFonts w:hint="eastAsia" w:ascii="楷体_GB2312" w:hAnsi="楷体_GB2312" w:eastAsia="楷体_GB2312" w:cs="楷体_GB2312"/>
          <w:b w:val="0"/>
          <w:bCs w:val="0"/>
          <w:lang w:val="en-US" w:eastAsia="zh-CN"/>
        </w:rPr>
        <w:t>（二）企业员工安全教育培训不到位</w:t>
      </w:r>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晶威混凝土公司对事故死亡人员任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福在入职时未进行三级教育培训，未经考核合格后上岗。虽然对任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福上岗后进行了4次安全教育和培训，但培训针对性不强，流于形式，未开展安全生产法律法规及岗位安全操作规程教育培训，</w:t>
      </w:r>
      <w:r>
        <w:rPr>
          <w:rFonts w:ascii="仿宋_GB2312" w:hAnsi="宋体" w:eastAsia="仿宋_GB2312" w:cs="仿宋_GB2312"/>
          <w:b w:val="0"/>
          <w:color w:val="000000" w:themeColor="text1"/>
          <w:sz w:val="31"/>
          <w:szCs w:val="31"/>
          <w14:textFill>
            <w14:solidFill>
              <w14:schemeClr w14:val="tx1"/>
            </w14:solidFill>
          </w14:textFill>
        </w:rPr>
        <w:t>未明确告知作业场所和工作岗位存在的危险因素、防范措施以及事故应急措施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 xml:space="preserve">   </w:t>
      </w:r>
      <w:bookmarkStart w:id="34" w:name="_Toc23732"/>
      <w:bookmarkStart w:id="35" w:name="_Toc2325"/>
      <w:r>
        <w:rPr>
          <w:rStyle w:val="35"/>
          <w:rFonts w:hint="eastAsia" w:ascii="楷体_GB2312" w:hAnsi="楷体_GB2312" w:eastAsia="楷体_GB2312" w:cs="楷体_GB2312"/>
          <w:b w:val="0"/>
          <w:bCs w:val="0"/>
          <w:lang w:val="en-US" w:eastAsia="zh-CN"/>
        </w:rPr>
        <w:t>（三）企业日常安全管理不到位</w:t>
      </w:r>
      <w:bookmarkEnd w:id="34"/>
      <w:bookmarkEnd w:id="3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晶威混凝土公司日常安全检查流于形式，生产安全事故隐患排查治理工作开展不细致，存在缺失。未全面辨识生产工艺安全风险，事故现场未设置明显的安全警示标志，管控措施不到位。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val="0"/>
          <w:bCs w:val="0"/>
          <w:sz w:val="32"/>
          <w:szCs w:val="32"/>
          <w:lang w:val="en-US" w:eastAsia="zh-CN"/>
        </w:rPr>
        <w:t>（四）企业应急演练不到位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2024年</w:t>
      </w:r>
      <w:r>
        <w:rPr>
          <w:rFonts w:hint="eastAsia" w:ascii="仿宋_GB2312" w:hAnsi="仿宋_GB2312" w:eastAsia="仿宋_GB2312" w:cs="仿宋_GB2312"/>
          <w:sz w:val="32"/>
          <w:szCs w:val="32"/>
          <w:lang w:val="en-US" w:eastAsia="zh-CN"/>
        </w:rPr>
        <w:t>晶威混凝土公司开展防洪防汛专项事故应急演练和有限空间现场处置方案演练。该公司编制了《坍塌事故现场处置方案》，但未开展相应应急演练。</w:t>
      </w:r>
    </w:p>
    <w:p>
      <w:pPr>
        <w:pStyle w:val="3"/>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lang w:val="en-US" w:eastAsia="zh-CN"/>
        </w:rPr>
      </w:pPr>
      <w:bookmarkStart w:id="36" w:name="_Toc25288"/>
      <w:bookmarkStart w:id="37" w:name="_Toc9173"/>
      <w:bookmarkStart w:id="38" w:name="_Toc8812"/>
      <w:r>
        <w:rPr>
          <w:rFonts w:hint="eastAsia"/>
          <w:lang w:val="en-US" w:eastAsia="zh-CN"/>
        </w:rPr>
        <w:t>五、对有关责任人员和责任单位的处理建议</w:t>
      </w:r>
      <w:bookmarkEnd w:id="36"/>
      <w:bookmarkEnd w:id="37"/>
      <w:bookmarkEnd w:id="38"/>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楷体_GB2312" w:hAnsi="楷体_GB2312" w:eastAsia="楷体_GB2312" w:cs="楷体_GB2312"/>
          <w:b w:val="0"/>
          <w:bCs w:val="0"/>
          <w:lang w:val="en-US" w:eastAsia="zh-CN"/>
        </w:rPr>
      </w:pPr>
      <w:bookmarkStart w:id="39" w:name="_Toc21231"/>
      <w:bookmarkStart w:id="40" w:name="_Toc13066"/>
      <w:r>
        <w:rPr>
          <w:rFonts w:hint="eastAsia" w:ascii="楷体_GB2312" w:hAnsi="楷体_GB2312" w:eastAsia="楷体_GB2312" w:cs="楷体_GB2312"/>
          <w:b w:val="0"/>
          <w:bCs w:val="0"/>
          <w:lang w:val="en-US" w:eastAsia="zh-CN"/>
        </w:rPr>
        <w:t>（一）不予追究人员</w:t>
      </w:r>
      <w:bookmarkEnd w:id="39"/>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某福，晶威混凝土公司辅助工。违章站在4号料仓下料箅子上方料堆，使用长2.48m、直径15mm的铁棒对配料仓内堵塞的砂石料进行疏通作业时，砂石料突然下料导致任某福下陷至下料箅子处，四周砂石料迅速向配料仓进料形成流沙状，将任某福掩埋窒息死亡。其违章作业导致事故发生，鉴于其在事故中死亡，故不予追究其责任。</w:t>
      </w:r>
    </w:p>
    <w:p>
      <w:pPr>
        <w:pStyle w:val="4"/>
        <w:keepNext w:val="0"/>
        <w:keepLines w:val="0"/>
        <w:pageBreakBefore w:val="0"/>
        <w:widowControl w:val="0"/>
        <w:wordWrap/>
        <w:topLinePunct w:val="0"/>
        <w:autoSpaceDE/>
        <w:autoSpaceDN/>
        <w:bidi w:val="0"/>
        <w:spacing w:before="0" w:after="0" w:line="560" w:lineRule="exact"/>
        <w:ind w:left="0" w:leftChars="0" w:right="0" w:rightChars="0" w:firstLine="640" w:firstLineChars="200"/>
        <w:jc w:val="both"/>
        <w:textAlignment w:val="auto"/>
        <w:rPr>
          <w:rFonts w:hint="eastAsia" w:ascii="楷体_GB2312" w:hAnsi="楷体_GB2312" w:eastAsia="楷体_GB2312" w:cs="楷体_GB2312"/>
          <w:b w:val="0"/>
          <w:bCs w:val="0"/>
          <w:lang w:val="en-US" w:eastAsia="zh-CN"/>
        </w:rPr>
      </w:pPr>
      <w:bookmarkStart w:id="41" w:name="_Toc16193"/>
      <w:bookmarkStart w:id="42" w:name="_Toc12942"/>
      <w:r>
        <w:rPr>
          <w:rFonts w:hint="eastAsia" w:ascii="楷体_GB2312" w:hAnsi="楷体_GB2312" w:eastAsia="楷体_GB2312" w:cs="楷体_GB2312"/>
          <w:b w:val="0"/>
          <w:bCs w:val="0"/>
          <w:lang w:val="en-US" w:eastAsia="zh-CN"/>
        </w:rPr>
        <w:t>（二）事故相关责任人员的行政处罚建议</w:t>
      </w:r>
      <w:bookmarkEnd w:id="41"/>
      <w:bookmarkEnd w:id="42"/>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1.洪</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宁，男，晶威混凝土公司法人，为安全生产第一责任人，履行安全生产职责不到位，对安全生产工作不够重视，未健全公司全员安全生产责任制和操作规程；未有效实施本公司安全生产教育和培训；未落实安全风险分级管控，督促、检查本公司安全生产工作；未有效实施本公司生产安全事故应急救援预案。违反《中华人民共和国安全生产法》第二十一条第（一）（二）（三）（五）（六）项</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2"/>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等规定，对本起事故的发生负有主要领导责任。建议由西宁市</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应急管理局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按《中华人民共和国安全生产法》</w:t>
      </w:r>
      <w:r>
        <w:rPr>
          <w:rFonts w:hint="eastAsia" w:ascii="仿宋_GB2312" w:hAnsi="仿宋_GB2312" w:eastAsia="仿宋_GB2312" w:cs="仿宋_GB2312"/>
          <w:b w:val="0"/>
          <w:bCs w:val="0"/>
          <w:color w:val="auto"/>
          <w:spacing w:val="0"/>
          <w:kern w:val="2"/>
          <w:sz w:val="32"/>
          <w:szCs w:val="32"/>
          <w:lang w:val="en-US" w:eastAsia="zh-CN" w:bidi="ar-SA"/>
        </w:rPr>
        <w:t>第九十五条第(一)项</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3"/>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auto"/>
          <w:spacing w:val="0"/>
          <w:kern w:val="2"/>
          <w:sz w:val="32"/>
          <w:szCs w:val="32"/>
          <w:lang w:val="en-US" w:eastAsia="zh-CN" w:bidi="ar-SA"/>
        </w:rPr>
        <w:t>规定</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法对洪</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宁进行处罚。</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杨某华，女，晶威混凝土公司主要负责人，主持公司全面工作，履行安全生产职责不到位，对安全生产工作不够重视，未健全公司全员安全生产责任制和操作规程；未有效实施本公司安全生产教育和培训；未落实安全风险分级管控，督促、检查本公司安全生产工作；未有效实施本公司的生产安全事故应急救援预案。违反《中华人民共和国安全生产法》第二十一条第（一）</w:t>
      </w:r>
    </w:p>
    <w:p>
      <w:pPr>
        <w:keepNext w:val="0"/>
        <w:keepLines w:val="0"/>
        <w:pageBreakBefore w:val="0"/>
        <w:widowControl w:val="0"/>
        <w:numPr>
          <w:ilvl w:val="0"/>
          <w:numId w:val="0"/>
        </w:numPr>
        <w:kinsoku w:val="0"/>
        <w:wordWrap/>
        <w:overflowPunct w:val="0"/>
        <w:topLinePunct w:val="0"/>
        <w:autoSpaceDE/>
        <w:autoSpaceDN/>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（二）（三）（五）（六）项</w:t>
      </w:r>
      <w:r>
        <w:rPr>
          <w:rStyle w:val="20"/>
          <w:rFonts w:hint="eastAsia" w:ascii="仿宋_GB2312" w:hAnsi="仿宋_GB2312" w:eastAsia="仿宋_GB2312" w:cs="仿宋_GB2312"/>
          <w:sz w:val="32"/>
          <w:szCs w:val="32"/>
          <w:lang w:val="en-US" w:eastAsia="zh-CN"/>
        </w:rPr>
        <w:t>[</w:t>
      </w:r>
      <w:r>
        <w:rPr>
          <w:rStyle w:val="20"/>
          <w:rFonts w:hint="eastAsia" w:ascii="仿宋_GB2312" w:hAnsi="仿宋_GB2312" w:eastAsia="仿宋_GB2312" w:cs="仿宋_GB2312"/>
          <w:sz w:val="32"/>
          <w:szCs w:val="32"/>
          <w:lang w:val="en-US" w:eastAsia="zh-CN"/>
        </w:rPr>
        <w:footnoteReference w:id="4"/>
      </w:r>
      <w:r>
        <w:rPr>
          <w:rStyle w:val="20"/>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等规定，对本起事故的发生负有主要领导责任。建议由西宁市</w:t>
      </w:r>
      <w:r>
        <w:rPr>
          <w:rFonts w:hint="eastAsia" w:ascii="仿宋_GB2312" w:hAnsi="仿宋_GB2312" w:eastAsia="仿宋_GB2312" w:cs="仿宋_GB2312"/>
          <w:b w:val="0"/>
          <w:bCs w:val="0"/>
          <w:color w:val="auto"/>
          <w:spacing w:val="0"/>
          <w:kern w:val="2"/>
          <w:sz w:val="32"/>
          <w:szCs w:val="32"/>
          <w:lang w:val="en-US" w:eastAsia="zh-CN" w:bidi="ar-SA"/>
        </w:rPr>
        <w:t>应急管理局</w:t>
      </w:r>
      <w:r>
        <w:rPr>
          <w:rFonts w:hint="eastAsia" w:ascii="仿宋_GB2312" w:hAnsi="仿宋_GB2312" w:eastAsia="仿宋_GB2312" w:cs="仿宋_GB2312"/>
          <w:sz w:val="32"/>
          <w:szCs w:val="32"/>
          <w:lang w:val="en-US" w:eastAsia="zh-CN"/>
        </w:rPr>
        <w:t>按《中华人民共和国安全生产法》</w:t>
      </w:r>
      <w:r>
        <w:rPr>
          <w:rFonts w:hint="eastAsia" w:ascii="仿宋_GB2312" w:hAnsi="仿宋_GB2312" w:eastAsia="仿宋_GB2312" w:cs="仿宋_GB2312"/>
          <w:b w:val="0"/>
          <w:bCs w:val="0"/>
          <w:color w:val="auto"/>
          <w:spacing w:val="0"/>
          <w:kern w:val="2"/>
          <w:sz w:val="32"/>
          <w:szCs w:val="32"/>
          <w:lang w:val="en-US" w:eastAsia="zh-CN" w:bidi="ar-SA"/>
        </w:rPr>
        <w:t>第九十五条第(一)项</w:t>
      </w:r>
      <w:r>
        <w:rPr>
          <w:rStyle w:val="20"/>
          <w:rFonts w:hint="eastAsia" w:ascii="仿宋_GB2312" w:hAnsi="仿宋_GB2312" w:eastAsia="仿宋_GB2312" w:cs="仿宋_GB2312"/>
          <w:b w:val="0"/>
          <w:bCs w:val="0"/>
          <w:color w:val="auto"/>
          <w:spacing w:val="0"/>
          <w:kern w:val="2"/>
          <w:sz w:val="32"/>
          <w:szCs w:val="32"/>
          <w:lang w:val="en-US" w:eastAsia="zh-CN" w:bidi="ar-SA"/>
        </w:rPr>
        <w:t>[</w:t>
      </w:r>
      <w:r>
        <w:rPr>
          <w:rStyle w:val="20"/>
          <w:rFonts w:hint="eastAsia" w:ascii="仿宋_GB2312" w:hAnsi="仿宋_GB2312" w:eastAsia="仿宋_GB2312" w:cs="仿宋_GB2312"/>
          <w:b w:val="0"/>
          <w:bCs w:val="0"/>
          <w:color w:val="auto"/>
          <w:spacing w:val="0"/>
          <w:kern w:val="2"/>
          <w:sz w:val="32"/>
          <w:szCs w:val="32"/>
          <w:lang w:val="en-US" w:eastAsia="zh-CN" w:bidi="ar-SA"/>
        </w:rPr>
        <w:footnoteReference w:id="5"/>
      </w:r>
      <w:r>
        <w:rPr>
          <w:rStyle w:val="20"/>
          <w:rFonts w:hint="eastAsia" w:ascii="仿宋_GB2312" w:hAnsi="仿宋_GB2312" w:eastAsia="仿宋_GB2312" w:cs="仿宋_GB2312"/>
          <w:b w:val="0"/>
          <w:bCs w:val="0"/>
          <w:color w:val="auto"/>
          <w:spacing w:val="0"/>
          <w:kern w:val="2"/>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bidi="ar-SA"/>
        </w:rPr>
        <w:t>规定依</w:t>
      </w:r>
      <w:r>
        <w:rPr>
          <w:rFonts w:hint="eastAsia" w:ascii="仿宋_GB2312" w:hAnsi="仿宋_GB2312" w:eastAsia="仿宋_GB2312" w:cs="仿宋_GB2312"/>
          <w:sz w:val="32"/>
          <w:szCs w:val="32"/>
          <w:lang w:val="en-US" w:eastAsia="zh-CN"/>
        </w:rPr>
        <w:t>法对杨某华进行处罚。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 xml:space="preserve">    3.赵某，女，晶威混凝土公司兼职安全管理人员，未对死者任某福进行安全生产教育和培训并经考核后上岗，日常安全生产教育培训工作不到位，未能确保死者任某福熟悉安全生产规章制度和安全操作规程，掌握本岗位安全操作技能，导致死者任某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安全意识淡薄，对岗位安全风险认识不足，违章操作。建议由晶威混凝土公司按照公司有关规定进行处理。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4.王</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慎，男，晶威混凝土公司生产部主管，为死者任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福直接领导。</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安全培训工作不到位，</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未能确保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掌握本岗位安全操作技能，导致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任</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福</w:t>
      </w:r>
      <w:r>
        <w:rPr>
          <w:rFonts w:hint="eastAsia" w:ascii="仿宋_GB2312" w:hAnsi="仿宋_GB2312" w:eastAsia="仿宋_GB2312" w:cs="仿宋_GB2312"/>
          <w:b w:val="0"/>
          <w:color w:val="000000" w:themeColor="text1"/>
          <w:sz w:val="32"/>
          <w:szCs w:val="32"/>
          <w:lang w:val="en-US" w:eastAsia="zh-CN"/>
          <w14:textFill>
            <w14:solidFill>
              <w14:schemeClr w14:val="tx1"/>
            </w14:solidFill>
          </w14:textFill>
        </w:rPr>
        <w:t>安全意识淡薄，违章操作，</w:t>
      </w:r>
      <w:r>
        <w:rPr>
          <w:rFonts w:hint="eastAsia" w:ascii="仿宋_GB2312" w:hAnsi="仿宋_GB2312" w:eastAsia="仿宋_GB2312" w:cs="仿宋_GB2312"/>
          <w:b w:val="0"/>
          <w:color w:val="000000" w:themeColor="text1"/>
          <w:sz w:val="32"/>
          <w:szCs w:val="32"/>
          <w14:textFill>
            <w14:solidFill>
              <w14:schemeClr w14:val="tx1"/>
            </w14:solidFill>
          </w14:textFill>
        </w:rPr>
        <w:t>对事故发生负有</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b w:val="0"/>
          <w:color w:val="000000" w:themeColor="text1"/>
          <w:sz w:val="32"/>
          <w:szCs w:val="32"/>
          <w14:textFill>
            <w14:solidFill>
              <w14:schemeClr w14:val="tx1"/>
            </w14:solidFill>
          </w14:textFill>
        </w:rPr>
        <w:t>责任</w:t>
      </w:r>
      <w:r>
        <w:rPr>
          <w:rFonts w:hint="eastAsia" w:ascii="仿宋_GB2312" w:hAnsi="仿宋_GB2312" w:eastAsia="仿宋_GB2312" w:cs="仿宋_GB2312"/>
          <w:b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建议由西宁市</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应急管理局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按《中华人民共和国安全生产法》第九十六条</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footnoteReference w:id="6"/>
      </w:r>
      <w:r>
        <w:rPr>
          <w:rStyle w:val="20"/>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法对王</w:t>
      </w:r>
      <w:r>
        <w:rPr>
          <w:rFonts w:hint="eastAsia" w:ascii="仿宋_GB2312" w:hAnsi="仿宋_GB2312" w:eastAsia="仿宋_GB2312" w:cs="仿宋_GB2312"/>
          <w:sz w:val="32"/>
          <w:szCs w:val="32"/>
          <w:lang w:val="en-US" w:eastAsia="zh-CN"/>
        </w:rPr>
        <w:t>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慎进行处罚。</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rPr>
          <w:rFonts w:hint="eastAsia" w:ascii="楷体_GB2312" w:hAnsi="楷体_GB2312" w:eastAsia="楷体_GB2312" w:cs="楷体_GB2312"/>
          <w:b w:val="0"/>
          <w:bCs w:val="0"/>
          <w:lang w:val="en-US" w:eastAsia="zh-CN"/>
        </w:rPr>
      </w:pPr>
      <w:bookmarkStart w:id="43" w:name="_Toc26200"/>
      <w:r>
        <w:rPr>
          <w:rFonts w:hint="eastAsia" w:ascii="楷体_GB2312" w:hAnsi="楷体_GB2312" w:eastAsia="楷体_GB2312" w:cs="楷体_GB2312"/>
          <w:b w:val="0"/>
          <w:bCs w:val="0"/>
          <w:lang w:val="en-US" w:eastAsia="zh-CN"/>
        </w:rPr>
        <w:t xml:space="preserve">   </w:t>
      </w:r>
      <w:bookmarkStart w:id="44" w:name="_Toc23510"/>
      <w:r>
        <w:rPr>
          <w:rFonts w:hint="eastAsia" w:ascii="楷体_GB2312" w:hAnsi="楷体_GB2312" w:eastAsia="楷体_GB2312" w:cs="楷体_GB2312"/>
          <w:b w:val="0"/>
          <w:bCs w:val="0"/>
          <w:lang w:val="en-US" w:eastAsia="zh-CN"/>
        </w:rPr>
        <w:t>（三）对事故责任单位的行政处罚建议</w:t>
      </w:r>
      <w:bookmarkEnd w:id="43"/>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113"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晶威混凝土公司，安全生产主体责任落实不到位。未健全全员安全生产责任制和操作规程，未配备专职安全管理人员，对员工安全生产教育培训不到位，未严格落实安全生产检查制度，安全风险辨识不全面，</w:t>
      </w:r>
      <w:r>
        <w:rPr>
          <w:rFonts w:hint="eastAsia" w:ascii="仿宋_GB2312" w:hAnsi="仿宋_GB2312" w:eastAsia="仿宋_GB2312" w:cs="仿宋_GB2312"/>
          <w:color w:val="auto"/>
          <w:sz w:val="32"/>
          <w:szCs w:val="32"/>
          <w:lang w:val="en-US" w:eastAsia="zh-CN"/>
        </w:rPr>
        <w:t>应急演练频次不足</w:t>
      </w:r>
      <w:r>
        <w:rPr>
          <w:rFonts w:hint="eastAsia" w:ascii="仿宋_GB2312" w:hAnsi="仿宋_GB2312" w:eastAsia="仿宋_GB2312" w:cs="仿宋_GB2312"/>
          <w:sz w:val="32"/>
          <w:szCs w:val="32"/>
          <w:lang w:val="en-US" w:eastAsia="zh-CN"/>
        </w:rPr>
        <w:t>，导致事故发生。违反《中华人民共和国安全生产法》第四条、第二十四条第一款、第二十八条第一款</w:t>
      </w:r>
      <w:r>
        <w:rPr>
          <w:rStyle w:val="20"/>
          <w:rFonts w:hint="eastAsia" w:ascii="仿宋_GB2312" w:hAnsi="仿宋_GB2312" w:eastAsia="仿宋_GB2312" w:cs="仿宋_GB2312"/>
          <w:sz w:val="32"/>
          <w:szCs w:val="32"/>
          <w:lang w:val="en-US" w:eastAsia="zh-CN"/>
        </w:rPr>
        <w:t>[</w:t>
      </w:r>
      <w:r>
        <w:rPr>
          <w:rStyle w:val="20"/>
          <w:rFonts w:hint="eastAsia" w:ascii="仿宋_GB2312" w:hAnsi="仿宋_GB2312" w:eastAsia="仿宋_GB2312" w:cs="仿宋_GB2312"/>
          <w:sz w:val="32"/>
          <w:szCs w:val="32"/>
          <w:lang w:val="en-US" w:eastAsia="zh-CN"/>
        </w:rPr>
        <w:footnoteReference w:id="7"/>
      </w:r>
      <w:r>
        <w:rPr>
          <w:rStyle w:val="20"/>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，《生产安全事故应急预案管理办法》第三十三条</w:t>
      </w:r>
      <w:r>
        <w:rPr>
          <w:rStyle w:val="20"/>
          <w:rFonts w:hint="eastAsia" w:ascii="仿宋_GB2312" w:hAnsi="仿宋_GB2312" w:eastAsia="仿宋_GB2312" w:cs="仿宋_GB2312"/>
          <w:sz w:val="32"/>
          <w:szCs w:val="32"/>
          <w:lang w:val="en-US" w:eastAsia="zh-CN"/>
        </w:rPr>
        <w:t>[</w:t>
      </w:r>
      <w:r>
        <w:rPr>
          <w:rStyle w:val="20"/>
          <w:rFonts w:hint="eastAsia" w:ascii="仿宋_GB2312" w:hAnsi="仿宋_GB2312" w:eastAsia="仿宋_GB2312" w:cs="仿宋_GB2312"/>
          <w:sz w:val="32"/>
          <w:szCs w:val="32"/>
          <w:lang w:val="en-US" w:eastAsia="zh-CN"/>
        </w:rPr>
        <w:footnoteReference w:id="8"/>
      </w:r>
      <w:r>
        <w:rPr>
          <w:rStyle w:val="20"/>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等有关规定，对本起事故的发生负有责任。建议由西宁市应急管理局按《中华人民共和国安全生产法》第一百一十四条第（一）项规定</w:t>
      </w:r>
      <w:r>
        <w:rPr>
          <w:rStyle w:val="20"/>
          <w:rFonts w:hint="eastAsia" w:ascii="仿宋_GB2312" w:hAnsi="仿宋_GB2312" w:eastAsia="仿宋_GB2312" w:cs="仿宋_GB2312"/>
          <w:sz w:val="32"/>
          <w:szCs w:val="32"/>
          <w:lang w:val="en-US" w:eastAsia="zh-CN"/>
        </w:rPr>
        <w:t>[</w:t>
      </w:r>
      <w:r>
        <w:rPr>
          <w:rStyle w:val="20"/>
          <w:rFonts w:hint="eastAsia" w:ascii="仿宋_GB2312" w:hAnsi="仿宋_GB2312" w:eastAsia="仿宋_GB2312" w:cs="仿宋_GB2312"/>
          <w:sz w:val="32"/>
          <w:szCs w:val="32"/>
          <w:lang w:val="en-US" w:eastAsia="zh-CN"/>
        </w:rPr>
        <w:footnoteReference w:id="9"/>
      </w:r>
      <w:r>
        <w:rPr>
          <w:rStyle w:val="20"/>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进行处罚。</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rPr>
          <w:rFonts w:hint="eastAsia" w:ascii="楷体_GB2312" w:hAnsi="楷体_GB2312" w:eastAsia="楷体_GB2312" w:cs="楷体_GB2312"/>
          <w:b w:val="0"/>
          <w:bCs w:val="0"/>
          <w:color w:val="auto"/>
          <w:lang w:val="en-US" w:eastAsia="zh-CN"/>
        </w:rPr>
      </w:pPr>
      <w:bookmarkStart w:id="45" w:name="_Toc25121"/>
      <w:r>
        <w:rPr>
          <w:rFonts w:hint="eastAsia" w:ascii="楷体_GB2312" w:hAnsi="楷体_GB2312" w:eastAsia="楷体_GB2312" w:cs="楷体_GB2312"/>
          <w:b w:val="0"/>
          <w:bCs w:val="0"/>
          <w:color w:val="auto"/>
          <w:lang w:val="en-US" w:eastAsia="zh-CN"/>
        </w:rPr>
        <w:t xml:space="preserve">   </w:t>
      </w:r>
      <w:bookmarkStart w:id="46" w:name="_Toc29871"/>
      <w:r>
        <w:rPr>
          <w:rFonts w:hint="eastAsia" w:ascii="楷体_GB2312" w:hAnsi="楷体_GB2312" w:eastAsia="楷体_GB2312" w:cs="楷体_GB2312"/>
          <w:b w:val="0"/>
          <w:bCs w:val="0"/>
          <w:color w:val="auto"/>
          <w:lang w:val="en-US" w:eastAsia="zh-CN"/>
        </w:rPr>
        <w:t>（四）建议移交司法机关处理的人员</w:t>
      </w:r>
      <w:bookmarkEnd w:id="45"/>
      <w:bookmarkEnd w:id="4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对晶威混凝土公司有关责任人涉嫌安全生产犯罪的，建议由公安机关立案调查。</w:t>
      </w:r>
    </w:p>
    <w:p>
      <w:pPr>
        <w:pStyle w:val="3"/>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lang w:val="en-US" w:eastAsia="zh-CN"/>
        </w:rPr>
      </w:pPr>
      <w:bookmarkStart w:id="47" w:name="_Toc32573"/>
      <w:bookmarkStart w:id="48" w:name="_Toc1925"/>
      <w:bookmarkStart w:id="49" w:name="_Toc15374"/>
      <w:r>
        <w:rPr>
          <w:rFonts w:hint="eastAsia"/>
          <w:lang w:val="en-US" w:eastAsia="zh-CN"/>
        </w:rPr>
        <w:t>六、事故整改和防范措施</w:t>
      </w:r>
      <w:bookmarkEnd w:id="47"/>
      <w:bookmarkEnd w:id="48"/>
      <w:bookmarkEnd w:id="4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1.青海晶威混凝土有限公司：</w:t>
      </w:r>
      <w:r>
        <w:rPr>
          <w:rFonts w:hint="eastAsia" w:ascii="仿宋_GB2312" w:hAnsi="仿宋_GB2312" w:eastAsia="仿宋_GB2312" w:cs="仿宋_GB2312"/>
          <w:sz w:val="32"/>
          <w:szCs w:val="32"/>
          <w:lang w:val="en-US" w:eastAsia="zh-CN"/>
        </w:rPr>
        <w:t>要进一步落实企业主体责任，提升安全生产条件：</w:t>
      </w:r>
      <w:r>
        <w:rPr>
          <w:rFonts w:hint="eastAsia" w:ascii="仿宋_GB2312" w:hAnsi="仿宋_GB2312" w:eastAsia="仿宋_GB2312" w:cs="仿宋_GB2312"/>
          <w:b/>
          <w:bCs/>
          <w:sz w:val="32"/>
          <w:szCs w:val="32"/>
          <w:lang w:val="en-US" w:eastAsia="zh-CN"/>
        </w:rPr>
        <w:t>一要</w:t>
      </w:r>
      <w:r>
        <w:rPr>
          <w:rFonts w:hint="eastAsia" w:ascii="仿宋_GB2312" w:hAnsi="仿宋_GB2312" w:eastAsia="仿宋_GB2312" w:cs="仿宋_GB2312"/>
          <w:sz w:val="32"/>
          <w:szCs w:val="32"/>
          <w:lang w:val="en-US" w:eastAsia="zh-CN"/>
        </w:rPr>
        <w:t>召开一次事故剖析会，深刻汲取事故教训，举一反三，查找安全生产工作中存在问题和薄弱环节，加强安全管理，及时消除事故隐患，避免同类事故发生；</w:t>
      </w:r>
      <w:r>
        <w:rPr>
          <w:rFonts w:hint="eastAsia" w:ascii="仿宋_GB2312" w:hAnsi="仿宋_GB2312" w:eastAsia="仿宋_GB2312" w:cs="仿宋_GB2312"/>
          <w:b/>
          <w:bCs/>
          <w:sz w:val="32"/>
          <w:szCs w:val="32"/>
          <w:lang w:val="en-US" w:eastAsia="zh-CN"/>
        </w:rPr>
        <w:t>二要</w:t>
      </w:r>
      <w:r>
        <w:rPr>
          <w:rFonts w:hint="eastAsia" w:ascii="仿宋_GB2312" w:hAnsi="仿宋_GB2312" w:eastAsia="仿宋_GB2312" w:cs="仿宋_GB2312"/>
          <w:sz w:val="32"/>
          <w:szCs w:val="32"/>
          <w:lang w:val="en-US" w:eastAsia="zh-CN"/>
        </w:rPr>
        <w:t>加强从业人员安全生产教育和培训工作，认真落实《生产经营单位安全培训规定》的要求，加强对从业人员日常安全教育和培训，特别对从业人员岗位的操作技能及安全防护知识的培训，不断增强从业人员的安全生产意识和操作技能，防止各类违章行为的发生；</w:t>
      </w:r>
      <w:r>
        <w:rPr>
          <w:rFonts w:hint="eastAsia" w:ascii="仿宋_GB2312" w:hAnsi="仿宋_GB2312" w:eastAsia="仿宋_GB2312" w:cs="仿宋_GB2312"/>
          <w:b/>
          <w:bCs/>
          <w:sz w:val="32"/>
          <w:szCs w:val="32"/>
          <w:lang w:val="en-US" w:eastAsia="zh-CN"/>
        </w:rPr>
        <w:t>三要</w:t>
      </w:r>
      <w:r>
        <w:rPr>
          <w:rFonts w:hint="eastAsia" w:ascii="仿宋_GB2312" w:hAnsi="仿宋_GB2312" w:eastAsia="仿宋_GB2312" w:cs="仿宋_GB2312"/>
          <w:sz w:val="32"/>
          <w:szCs w:val="32"/>
          <w:lang w:val="en-US" w:eastAsia="zh-CN"/>
        </w:rPr>
        <w:t>进一步优化和完善安全生产规章制度和安全操作规程，严格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执行安全生产规章制度和安全操作规程，及时制止纠正违章作业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行为，消除各类不安全行为；</w:t>
      </w:r>
      <w:r>
        <w:rPr>
          <w:rFonts w:hint="eastAsia" w:ascii="仿宋_GB2312" w:hAnsi="仿宋_GB2312" w:eastAsia="仿宋_GB2312" w:cs="仿宋_GB2312"/>
          <w:b/>
          <w:bCs/>
          <w:sz w:val="32"/>
          <w:szCs w:val="32"/>
          <w:lang w:val="en-US" w:eastAsia="zh-CN"/>
        </w:rPr>
        <w:t>四要</w:t>
      </w:r>
      <w:r>
        <w:rPr>
          <w:rFonts w:hint="eastAsia" w:ascii="仿宋_GB2312" w:hAnsi="仿宋_GB2312" w:eastAsia="仿宋_GB2312" w:cs="仿宋_GB2312"/>
          <w:sz w:val="32"/>
          <w:szCs w:val="32"/>
          <w:lang w:val="en-US" w:eastAsia="zh-CN"/>
        </w:rPr>
        <w:t>进一步全面深入开展安全风险分级管控工作，制定相应的安全防范措施；</w:t>
      </w:r>
      <w:r>
        <w:rPr>
          <w:rFonts w:hint="eastAsia" w:ascii="仿宋_GB2312" w:hAnsi="仿宋_GB2312" w:eastAsia="仿宋_GB2312" w:cs="仿宋_GB2312"/>
          <w:b/>
          <w:bCs/>
          <w:sz w:val="32"/>
          <w:szCs w:val="32"/>
          <w:lang w:val="en-US" w:eastAsia="zh-CN"/>
        </w:rPr>
        <w:t>五要</w:t>
      </w:r>
      <w:r>
        <w:rPr>
          <w:rFonts w:hint="eastAsia" w:ascii="仿宋_GB2312" w:hAnsi="仿宋_GB2312" w:eastAsia="仿宋_GB2312" w:cs="仿宋_GB2312"/>
          <w:sz w:val="32"/>
          <w:szCs w:val="32"/>
          <w:lang w:val="en-US" w:eastAsia="zh-CN"/>
        </w:rPr>
        <w:t>加强公司安全生产隐患排查治理力度，严格按照安全规范要求做到细致、全面和彻底，及时发现并消除各类事故隐患，不断提高设备设施本质安全化水平。</w:t>
      </w:r>
      <w:r>
        <w:rPr>
          <w:rFonts w:hint="eastAsia" w:ascii="仿宋_GB2312" w:hAnsi="仿宋_GB2312" w:eastAsia="仿宋_GB2312" w:cs="仿宋_GB2312"/>
          <w:b/>
          <w:bCs/>
          <w:sz w:val="32"/>
          <w:szCs w:val="32"/>
          <w:lang w:val="en-US" w:eastAsia="zh-CN"/>
        </w:rPr>
        <w:t>六要</w:t>
      </w:r>
      <w:r>
        <w:rPr>
          <w:rFonts w:hint="eastAsia" w:ascii="仿宋_GB2312" w:hAnsi="仿宋_GB2312" w:eastAsia="仿宋_GB2312" w:cs="仿宋_GB2312"/>
          <w:b w:val="0"/>
          <w:bCs w:val="0"/>
          <w:color w:val="auto"/>
          <w:spacing w:val="0"/>
          <w:kern w:val="2"/>
          <w:sz w:val="32"/>
          <w:szCs w:val="32"/>
          <w:lang w:val="en-US" w:eastAsia="zh-CN" w:bidi="ar-SA"/>
        </w:rPr>
        <w:t>组织开展应急救援演练，针对可能发生的事故类型编制专项应急预案和现场处置方案，完善应急响应流程，增强员工应急救援能力。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2.南川工业园区管理委员会规划建设和土地管理局：</w:t>
      </w:r>
      <w:r>
        <w:rPr>
          <w:rFonts w:hint="eastAsia" w:ascii="仿宋_GB2312" w:hAnsi="仿宋_GB2312" w:eastAsia="仿宋_GB2312" w:cs="仿宋_GB2312"/>
          <w:b w:val="0"/>
          <w:bCs w:val="0"/>
          <w:sz w:val="32"/>
          <w:szCs w:val="32"/>
          <w:lang w:val="en-US" w:eastAsia="zh-CN"/>
        </w:rPr>
        <w:t>按照</w:t>
      </w:r>
      <w:r>
        <w:rPr>
          <w:rFonts w:hint="eastAsia" w:ascii="仿宋_GB2312" w:hAnsi="仿宋_GB2312" w:eastAsia="仿宋_GB2312" w:cs="仿宋_GB2312"/>
          <w:sz w:val="32"/>
          <w:szCs w:val="32"/>
          <w:lang w:val="en-US" w:eastAsia="zh-CN"/>
        </w:rPr>
        <w:t>“三管三必须”原则，要认真落实行业安全监管职责，加强对园区建筑企业安全生产状况的监督检查；要督促建筑企业全面开展安全风险辨识管控工作，制定相应的安全防范措施，并及时督促建筑企业事故整改隐患，坚决制止此类事故的再次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color w:val="auto"/>
          <w:spacing w:val="0"/>
          <w:kern w:val="2"/>
          <w:sz w:val="32"/>
          <w:szCs w:val="32"/>
          <w:lang w:val="en-US" w:eastAsia="zh-CN" w:bidi="ar-SA"/>
        </w:rPr>
        <w:t>南川工业园区管理委员会：</w:t>
      </w:r>
      <w:r>
        <w:rPr>
          <w:rFonts w:hint="eastAsia" w:ascii="仿宋_GB2312" w:hAnsi="仿宋_GB2312" w:eastAsia="仿宋_GB2312" w:cs="仿宋_GB2312"/>
          <w:sz w:val="32"/>
          <w:szCs w:val="32"/>
          <w:lang w:val="en-US" w:eastAsia="zh-CN"/>
        </w:rPr>
        <w:t xml:space="preserve">要按照西宁市安全生产委员会下发《西宁市安全生产委员会工作机制及政府（部门）安全生产工作职责规定》文件要求，做好安全生产工作，根据《西宁经济技术开发区南川工业园区安全生产治本攻坚三年行动实施方案》，扎实开展本行业安全生产督促、指导、检查工作；要督促辖区同行业企业召开一次现场警示会，分析事故原因，吸取事故教训，督促企业落实安全生产主体责任，加大安全检查监管力度，确保安全生产。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sz w:val="32"/>
          <w:szCs w:val="32"/>
          <w:lang w:val="en-US" w:eastAsia="zh-CN"/>
        </w:rPr>
        <w:t xml:space="preserve">              </w:t>
      </w:r>
    </w:p>
    <w:p>
      <w:pPr>
        <w:pStyle w:val="9"/>
        <w:keepNext w:val="0"/>
        <w:keepLines w:val="0"/>
        <w:pageBreakBefore w:val="0"/>
        <w:widowControl w:val="0"/>
        <w:numPr>
          <w:ilvl w:val="0"/>
          <w:numId w:val="0"/>
        </w:numPr>
        <w:tabs>
          <w:tab w:val="left" w:pos="1652"/>
          <w:tab w:val="left" w:pos="2520"/>
        </w:tabs>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auto"/>
        <w:outlineLvl w:val="9"/>
        <w:rPr>
          <w:rFonts w:hint="default" w:ascii="仿宋_GB2312" w:hAnsi="仿宋_GB2312" w:eastAsia="仿宋_GB2312" w:cs="仿宋_GB2312"/>
          <w:b w:val="0"/>
          <w:bCs w:val="0"/>
          <w:color w:val="auto"/>
          <w:spacing w:val="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pacing w:val="4"/>
          <w:w w:val="1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pacing w:val="4"/>
          <w:w w:val="1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pacing w:val="4"/>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pacing w:val="4"/>
          <w:w w:val="95"/>
          <w:sz w:val="32"/>
          <w:szCs w:val="32"/>
          <w:lang w:val="en-US" w:eastAsia="zh-CN"/>
        </w:rPr>
      </w:pPr>
      <w:r>
        <w:rPr>
          <w:rFonts w:hint="eastAsia" w:ascii="仿宋_GB2312" w:hAnsi="仿宋_GB2312" w:eastAsia="仿宋_GB2312" w:cs="仿宋_GB2312"/>
          <w:spacing w:val="4"/>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w w:val="100"/>
          <w:sz w:val="32"/>
          <w:szCs w:val="32"/>
          <w:lang w:val="en-US" w:eastAsia="zh-CN"/>
        </w:rPr>
      </w:pPr>
    </w:p>
    <w:p>
      <w:pPr>
        <w:pStyle w:val="23"/>
        <w:rPr>
          <w:rFonts w:hint="eastAsia" w:ascii="仿宋_GB2312" w:hAnsi="仿宋_GB2312" w:eastAsia="仿宋_GB2312" w:cs="仿宋_GB2312"/>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eastAsia="仿宋_GB2312"/>
          <w:w w:val="80"/>
          <w:sz w:val="32"/>
          <w:szCs w:val="32"/>
          <w:lang w:val="en-US" w:eastAsia="zh-CN"/>
        </w:rPr>
      </w:pPr>
    </w:p>
    <w:sectPr>
      <w:footerReference r:id="rId5" w:type="default"/>
      <w:pgSz w:w="11906" w:h="16838"/>
      <w:pgMar w:top="2098" w:right="1474" w:bottom="1984" w:left="1587" w:header="851" w:footer="992" w:gutter="0"/>
      <w:pgNumType w:fmt="numberInDash" w:start="1"/>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Tahoma">
    <w:panose1 w:val="020B0604030504040204"/>
    <w:charset w:val="00"/>
    <w:family w:val="roman"/>
    <w:pitch w:val="default"/>
    <w:sig w:usb0="E1002EFF" w:usb1="C000605B" w:usb2="00000029" w:usb3="00000000" w:csb0="200101FF" w:csb1="20280000"/>
  </w:font>
  <w:font w:name="仿宋_GB2312">
    <w:panose1 w:val="02010609030101010101"/>
    <w:charset w:val="86"/>
    <w:family w:val="decorative"/>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script"/>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modern"/>
    <w:pitch w:val="default"/>
    <w:sig w:usb0="E1002EFF" w:usb1="C000605B" w:usb2="00000029" w:usb3="00000000" w:csb0="200101FF" w:csb1="20280000"/>
  </w:font>
  <w:font w:name="仿宋_GB2312">
    <w:panose1 w:val="02010609030101010101"/>
    <w:charset w:val="86"/>
    <w:family w:val="roman"/>
    <w:pitch w:val="default"/>
    <w:sig w:usb0="00000001" w:usb1="080E0000" w:usb2="00000000" w:usb3="00000000" w:csb0="00040000"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id="0">
    <w:p>
      <w:pPr>
        <w:pStyle w:val="14"/>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kern w:val="2"/>
          <w:sz w:val="18"/>
          <w:szCs w:val="18"/>
          <w:lang w:val="en-US" w:eastAsia="zh-CN" w:bidi="ar-SA"/>
        </w:rPr>
        <w:t>[1] 《企业职工伤亡事故分类》GB/T6441-1986：坍塌</w:t>
      </w:r>
      <w:r>
        <w:rPr>
          <w:rFonts w:hint="eastAsia" w:asciiTheme="minorEastAsia" w:hAnsiTheme="minorEastAsia" w:eastAsiaTheme="minorEastAsia" w:cstheme="minorEastAsia"/>
          <w:i w:val="0"/>
          <w:iCs w:val="0"/>
          <w:caps w:val="0"/>
          <w:color w:val="2F2F2F"/>
          <w:spacing w:val="0"/>
          <w:sz w:val="18"/>
          <w:szCs w:val="18"/>
          <w:shd w:val="clear" w:color="auto" w:fill="FFFFFF"/>
          <w:lang w:val="en-US" w:eastAsia="zh-CN"/>
        </w:rPr>
        <w:t xml:space="preserve"> </w:t>
      </w:r>
      <w:r>
        <w:rPr>
          <w:rFonts w:hint="eastAsia" w:asciiTheme="minorEastAsia" w:hAnsiTheme="minorEastAsia" w:eastAsiaTheme="minorEastAsia" w:cstheme="minorEastAsia"/>
          <w:i w:val="0"/>
          <w:caps w:val="0"/>
          <w:spacing w:val="0"/>
          <w:sz w:val="18"/>
          <w:szCs w:val="18"/>
          <w:shd w:val="clear" w:fill="FFFFFF"/>
        </w:rPr>
        <w:t>指物体在外力或重力作用下，超过自身的强度极限或因结构稳定性破坏而造成的事故，如挖沟时的土石塌方、脚手架坍塌、堆置物倒塌等，不适用于矿山冒顶片帮和车辆、起重机械、爆破引起的坍塌。</w:t>
      </w:r>
    </w:p>
  </w:footnote>
  <w:footnote w:id="1">
    <w:p>
      <w:pPr>
        <w:pStyle w:val="14"/>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kern w:val="2"/>
          <w:sz w:val="18"/>
          <w:szCs w:val="18"/>
          <w:lang w:val="en-US" w:eastAsia="zh-CN" w:bidi="ar-SA"/>
        </w:rPr>
        <w:t>[2]</w:t>
      </w:r>
      <w:r>
        <w:rPr>
          <w:rFonts w:hint="eastAsia" w:asciiTheme="minorEastAsia" w:hAnsiTheme="minorEastAsia" w:cstheme="minorEastAsia"/>
          <w:b w:val="0"/>
          <w:bCs w:val="0"/>
          <w:kern w:val="2"/>
          <w:sz w:val="18"/>
          <w:szCs w:val="18"/>
          <w:lang w:val="en-US" w:eastAsia="zh-CN" w:bidi="ar-SA"/>
        </w:rPr>
        <w:t xml:space="preserve"> </w:t>
      </w:r>
      <w:r>
        <w:rPr>
          <w:rFonts w:hint="eastAsia" w:asciiTheme="minorEastAsia" w:hAnsiTheme="minorEastAsia" w:eastAsiaTheme="minorEastAsia" w:cstheme="minorEastAsia"/>
          <w:b w:val="0"/>
          <w:bCs w:val="0"/>
          <w:kern w:val="2"/>
          <w:sz w:val="18"/>
          <w:szCs w:val="18"/>
          <w:lang w:val="en-US" w:eastAsia="zh-CN" w:bidi="ar-SA"/>
        </w:rPr>
        <w:t>《生产安全事故报告和调查处理条例》（国务院令第493号）第三条</w:t>
      </w:r>
      <w:r>
        <w:rPr>
          <w:rFonts w:hint="eastAsia" w:asciiTheme="minorEastAsia" w:hAnsiTheme="minorEastAsia" w:cstheme="minorEastAsia"/>
          <w:b w:val="0"/>
          <w:bCs w:val="0"/>
          <w:kern w:val="2"/>
          <w:sz w:val="18"/>
          <w:szCs w:val="18"/>
          <w:lang w:val="en-US" w:eastAsia="zh-CN" w:bidi="ar-SA"/>
        </w:rPr>
        <w:t>第四款</w:t>
      </w:r>
      <w:r>
        <w:rPr>
          <w:rFonts w:hint="eastAsia" w:asciiTheme="minorEastAsia" w:hAnsiTheme="minorEastAsia" w:eastAsiaTheme="minorEastAsia" w:cstheme="minorEastAsia"/>
          <w:b w:val="0"/>
          <w:bCs w:val="0"/>
          <w:kern w:val="2"/>
          <w:sz w:val="18"/>
          <w:szCs w:val="18"/>
          <w:lang w:val="en-US" w:eastAsia="zh-CN" w:bidi="ar-SA"/>
        </w:rPr>
        <w:t>：一般生产安全事故是指造成3人以下死亡，或者10人以下重伤，或者1000万元以下直接经济损失的事故。</w:t>
      </w:r>
    </w:p>
  </w:footnote>
  <w:footnote w:id="2">
    <w:p>
      <w:pPr>
        <w:pStyle w:val="14"/>
        <w:keepNext w:val="0"/>
        <w:keepLines w:val="0"/>
        <w:pageBreakBefore w:val="0"/>
        <w:widowControl w:val="0"/>
        <w:kinsoku w:val="0"/>
        <w:wordWrap w:val="0"/>
        <w:overflowPunct w:val="0"/>
        <w:topLinePunct w:val="0"/>
        <w:autoSpaceDE w:val="0"/>
        <w:autoSpaceDN w:val="0"/>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b w:val="0"/>
          <w:bCs w:val="0"/>
          <w:kern w:val="2"/>
          <w:sz w:val="18"/>
          <w:szCs w:val="18"/>
          <w:lang w:val="en-US" w:eastAsia="zh-CN" w:bidi="ar-SA"/>
        </w:rPr>
        <w:t>[3] 《中华人民共和国安全生产法》第二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六）组织制定并实</w:t>
      </w:r>
      <w:r>
        <w:rPr>
          <w:rFonts w:hint="eastAsia" w:ascii="宋体" w:hAnsi="宋体" w:eastAsia="宋体" w:cs="宋体"/>
          <w:sz w:val="18"/>
          <w:szCs w:val="18"/>
          <w:lang w:val="en-US" w:eastAsia="zh-CN"/>
        </w:rPr>
        <w:t>施本单位生产安全事故应急救援预案。</w:t>
      </w:r>
    </w:p>
  </w:footnote>
  <w:footnote w:id="3">
    <w:p>
      <w:pPr>
        <w:pStyle w:val="14"/>
        <w:snapToGrid w:val="0"/>
        <w:rPr>
          <w:rFonts w:hint="eastAsia" w:ascii="宋体" w:hAnsi="宋体" w:eastAsia="宋体" w:cs="宋体"/>
          <w:sz w:val="18"/>
          <w:szCs w:val="18"/>
        </w:rPr>
      </w:pPr>
      <w:r>
        <w:rPr>
          <w:rFonts w:hint="eastAsia" w:ascii="宋体" w:hAnsi="宋体" w:eastAsia="宋体" w:cs="宋体"/>
          <w:sz w:val="18"/>
          <w:szCs w:val="18"/>
          <w:lang w:val="en-US" w:eastAsia="zh-CN"/>
        </w:rPr>
        <w:t>[4] 《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w:t>
      </w:r>
    </w:p>
  </w:footnote>
  <w:footnote w:id="4">
    <w:p>
      <w:pPr>
        <w:pStyle w:val="14"/>
        <w:keepNext w:val="0"/>
        <w:keepLines w:val="0"/>
        <w:pageBreakBefore w:val="0"/>
        <w:widowControl w:val="0"/>
        <w:kinsoku w:val="0"/>
        <w:wordWrap w:val="0"/>
        <w:overflowPunct w:val="0"/>
        <w:topLinePunct w:val="0"/>
        <w:autoSpaceDE w:val="0"/>
        <w:autoSpaceDN w:val="0"/>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sz w:val="18"/>
          <w:szCs w:val="18"/>
          <w:lang w:val="en-US" w:eastAsia="zh-CN"/>
        </w:rPr>
      </w:pPr>
      <w:r>
        <w:rPr>
          <w:rFonts w:hint="eastAsia" w:ascii="宋体" w:hAnsi="宋体" w:eastAsia="宋体" w:cs="宋体"/>
          <w:b w:val="0"/>
          <w:bCs w:val="0"/>
          <w:kern w:val="2"/>
          <w:sz w:val="18"/>
          <w:szCs w:val="18"/>
          <w:lang w:val="en-US" w:eastAsia="zh-CN" w:bidi="ar-SA"/>
        </w:rPr>
        <w:t>[5] 《中华人民共和国安全生产法》第二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六）组织制定并实</w:t>
      </w:r>
      <w:r>
        <w:rPr>
          <w:rFonts w:hint="eastAsia" w:ascii="宋体" w:hAnsi="宋体" w:eastAsia="宋体" w:cs="宋体"/>
          <w:sz w:val="18"/>
          <w:szCs w:val="18"/>
          <w:lang w:val="en-US" w:eastAsia="zh-CN"/>
        </w:rPr>
        <w:t>施本单位生产安全事故应急救援预案。</w:t>
      </w:r>
    </w:p>
  </w:footnote>
  <w:footnote w:id="5">
    <w:p>
      <w:pPr>
        <w:pStyle w:val="14"/>
        <w:keepNext w:val="0"/>
        <w:keepLines w:val="0"/>
        <w:pageBreakBefore w:val="0"/>
        <w:widowControl w:val="0"/>
        <w:topLinePunct w:val="0"/>
        <w:bidi w:val="0"/>
        <w:snapToGrid w:val="0"/>
        <w:spacing w:line="240" w:lineRule="auto"/>
        <w:ind w:left="0" w:leftChars="0" w:right="0" w:righ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[6]</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w:t>
      </w:r>
    </w:p>
  </w:footnote>
  <w:footnote w:id="6">
    <w:p>
      <w:pPr>
        <w:pStyle w:val="14"/>
        <w:keepNext w:val="0"/>
        <w:keepLines w:val="0"/>
        <w:pageBreakBefore w:val="0"/>
        <w:widowControl w:val="0"/>
        <w:topLinePunct w:val="0"/>
        <w:bidi w:val="0"/>
        <w:snapToGrid w:val="0"/>
        <w:spacing w:line="240" w:lineRule="auto"/>
        <w:ind w:left="0" w:leftChars="0" w:right="0" w:rightChars="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[7] 《中华人民共和国安全生产法》第九十六条：生产经营单位的其他负责人和安全生产管理人员未履行本法规定的安全生产管理职责的，导致发生生产安全事故的，暂停或者吊销其安全生产有关的资格，并处上一年年收入百分之二十以上百分之五十以下的罚款。</w:t>
      </w:r>
    </w:p>
  </w:footnote>
  <w:footnote w:id="7">
    <w:p>
      <w:pPr>
        <w:pStyle w:val="14"/>
        <w:keepNext w:val="0"/>
        <w:keepLines w:val="0"/>
        <w:pageBreakBefore w:val="0"/>
        <w:widowControl w:val="0"/>
        <w:kinsoku w:val="0"/>
        <w:wordWrap w:val="0"/>
        <w:overflowPunct w:val="0"/>
        <w:topLinePunct w:val="0"/>
        <w:autoSpaceDE w:val="0"/>
        <w:autoSpaceDN w:val="0"/>
        <w:bidi w:val="0"/>
        <w:adjustRightInd w:val="0"/>
        <w:snapToGrid w:val="0"/>
        <w:spacing w:line="240" w:lineRule="auto"/>
        <w:ind w:left="0" w:leftChars="0" w:right="0" w:rightChars="0" w:firstLine="0" w:firstLineChars="0"/>
        <w:jc w:val="left"/>
        <w:textAlignment w:val="auto"/>
        <w:outlineLvl w:val="9"/>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[8] 《中华人民共和国安全生产法》第四条：生产经营单位必须遵守本法和其他有关安全生产的法律、法规，加强安全生产管理，建立健全全员安全生产责任制和安全生产规章制度，构建风险防范化解机制和隐患排查治理双重预防机制，健全风险防范化解机制。第二十四条第一款：矿山、金属冶炼、建筑施工、运输单位和危险物品的生产、经营、储存、装卸单位，应当设置安全生产管理机构或者配备专职安全生产管理人员。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8">
    <w:p>
      <w:pPr>
        <w:pStyle w:val="14"/>
        <w:keepNext w:val="0"/>
        <w:keepLines w:val="0"/>
        <w:pageBreakBefore w:val="0"/>
        <w:widowControl w:val="0"/>
        <w:kinsoku w:val="0"/>
        <w:wordWrap w:val="0"/>
        <w:overflowPunct w:val="0"/>
        <w:topLinePunct w:val="0"/>
        <w:autoSpaceDE w:val="0"/>
        <w:autoSpaceDN w:val="0"/>
        <w:bidi w:val="0"/>
        <w:adjustRightInd w:val="0"/>
        <w:snapToGrid w:val="0"/>
        <w:spacing w:line="240" w:lineRule="auto"/>
        <w:ind w:left="0" w:leftChars="0" w:right="0" w:rightChars="0" w:firstLine="0" w:firstLineChars="0"/>
        <w:jc w:val="left"/>
        <w:textAlignment w:val="auto"/>
        <w:outlineLvl w:val="9"/>
      </w:pPr>
      <w:r>
        <w:rPr>
          <w:rFonts w:hint="eastAsia" w:ascii="宋体" w:hAnsi="宋体" w:eastAsia="宋体" w:cs="宋体"/>
          <w:b w:val="0"/>
          <w:bCs w:val="0"/>
          <w:kern w:val="2"/>
          <w:sz w:val="18"/>
          <w:szCs w:val="18"/>
          <w:lang w:val="en-US" w:eastAsia="zh-CN" w:bidi="ar-SA"/>
        </w:rPr>
        <w:t>[</w:t>
      </w:r>
      <w:r>
        <w:rPr>
          <w:rFonts w:hint="eastAsia" w:ascii="宋体" w:hAnsi="宋体" w:eastAsia="宋体" w:cs="宋体"/>
          <w:b w:val="0"/>
          <w:bCs w:val="0"/>
          <w:kern w:val="2"/>
          <w:sz w:val="18"/>
          <w:szCs w:val="18"/>
          <w:lang w:val="en-US" w:eastAsia="zh-CN" w:bidi="ar-SA"/>
        </w:rPr>
        <w:footnoteRef/>
      </w:r>
      <w:r>
        <w:rPr>
          <w:rFonts w:hint="eastAsia" w:ascii="宋体" w:hAnsi="宋体" w:eastAsia="宋体" w:cs="宋体"/>
          <w:b w:val="0"/>
          <w:bCs w:val="0"/>
          <w:kern w:val="2"/>
          <w:sz w:val="18"/>
          <w:szCs w:val="18"/>
          <w:lang w:val="en-US" w:eastAsia="zh-CN" w:bidi="ar-SA"/>
        </w:rPr>
        <w:t xml:space="preserve">] 《生产安全事故应急预案管理办法》第三十三条：生产经营单位应当制定本单位的应急预案演练计划，根据本单位的事故风险特点，每年至少组织一次综合应急预案演练或者专项应急预案演练，每半年至少组织一次现场处置方案演练。           </w:t>
      </w:r>
      <w:r>
        <w:rPr>
          <w:rFonts w:hint="eastAsia" w:ascii="宋体" w:hAnsi="宋体" w:eastAsia="宋体" w:cs="宋体"/>
          <w:b w:val="0"/>
          <w:color w:val="001130"/>
          <w:sz w:val="18"/>
          <w:szCs w:val="18"/>
          <w:lang w:val="en-US" w:eastAsia="zh-CN"/>
        </w:rPr>
        <w:t xml:space="preserve">                            </w:t>
      </w:r>
    </w:p>
  </w:footnote>
  <w:footnote w:id="9">
    <w:p>
      <w:pPr>
        <w:pStyle w:val="14"/>
        <w:keepNext w:val="0"/>
        <w:keepLines w:val="0"/>
        <w:pageBreakBefore w:val="0"/>
        <w:widowControl w:val="0"/>
        <w:topLinePunct w:val="0"/>
        <w:bidi w:val="0"/>
        <w:snapToGrid w:val="0"/>
        <w:spacing w:line="240" w:lineRule="auto"/>
        <w:ind w:left="0" w:leftChars="0" w:right="0" w:rightChars="0" w:firstLine="0" w:firstLineChars="0"/>
        <w:jc w:val="left"/>
        <w:textAlignment w:val="auto"/>
      </w:pPr>
      <w:r>
        <w:rPr>
          <w:rFonts w:hint="eastAsia" w:ascii="宋体" w:hAnsi="宋体" w:eastAsia="宋体" w:cs="宋体"/>
          <w:b w:val="0"/>
          <w:bCs w:val="0"/>
          <w:kern w:val="2"/>
          <w:sz w:val="18"/>
          <w:szCs w:val="18"/>
          <w:lang w:val="en-US" w:eastAsia="zh-CN" w:bidi="ar-SA"/>
        </w:rPr>
        <w:t>[10] 《中华人民共和国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9776438">
    <w:nsid w:val="67B2E1B6"/>
    <w:multiLevelType w:val="singleLevel"/>
    <w:tmpl w:val="67B2E1B6"/>
    <w:lvl w:ilvl="0" w:tentative="1">
      <w:start w:val="3"/>
      <w:numFmt w:val="chineseCounting"/>
      <w:suff w:val="nothing"/>
      <w:lvlText w:val="（%1）"/>
      <w:lvlJc w:val="left"/>
    </w:lvl>
  </w:abstractNum>
  <w:num w:numId="1">
    <w:abstractNumId w:val="1739776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xN2YyZmMwNGNmNjZiMmM4M2Q3MGFkY2MyMDM1ZDkifQ=="/>
  </w:docVars>
  <w:rsids>
    <w:rsidRoot w:val="00000000"/>
    <w:rsid w:val="003948B2"/>
    <w:rsid w:val="006100AC"/>
    <w:rsid w:val="00B51CF3"/>
    <w:rsid w:val="00EB0010"/>
    <w:rsid w:val="01155F59"/>
    <w:rsid w:val="012104EA"/>
    <w:rsid w:val="014265FA"/>
    <w:rsid w:val="0185278D"/>
    <w:rsid w:val="01EA7F33"/>
    <w:rsid w:val="01FB23CB"/>
    <w:rsid w:val="02731389"/>
    <w:rsid w:val="02B00BF5"/>
    <w:rsid w:val="03197488"/>
    <w:rsid w:val="03215A31"/>
    <w:rsid w:val="03344275"/>
    <w:rsid w:val="033A0B59"/>
    <w:rsid w:val="03462181"/>
    <w:rsid w:val="03701033"/>
    <w:rsid w:val="03D50EA4"/>
    <w:rsid w:val="04214506"/>
    <w:rsid w:val="044D7489"/>
    <w:rsid w:val="04B15895"/>
    <w:rsid w:val="04FE7541"/>
    <w:rsid w:val="053D4AA7"/>
    <w:rsid w:val="05654966"/>
    <w:rsid w:val="056F2CF7"/>
    <w:rsid w:val="05E30AB8"/>
    <w:rsid w:val="069A6F62"/>
    <w:rsid w:val="06AD3A04"/>
    <w:rsid w:val="07DE1B77"/>
    <w:rsid w:val="07FA5C24"/>
    <w:rsid w:val="08313B80"/>
    <w:rsid w:val="0888779C"/>
    <w:rsid w:val="08C2566D"/>
    <w:rsid w:val="08E35BA2"/>
    <w:rsid w:val="09511A59"/>
    <w:rsid w:val="097B701A"/>
    <w:rsid w:val="09B37A49"/>
    <w:rsid w:val="09BE680A"/>
    <w:rsid w:val="0A5F6393"/>
    <w:rsid w:val="0A783322"/>
    <w:rsid w:val="0AD772D6"/>
    <w:rsid w:val="0AFE7196"/>
    <w:rsid w:val="0B3E7F80"/>
    <w:rsid w:val="0B765B5B"/>
    <w:rsid w:val="0BC64307"/>
    <w:rsid w:val="0C830617"/>
    <w:rsid w:val="0CB463B9"/>
    <w:rsid w:val="0CFB4AA5"/>
    <w:rsid w:val="0D010EE5"/>
    <w:rsid w:val="0D7D62B0"/>
    <w:rsid w:val="0E1C148D"/>
    <w:rsid w:val="0E4D3F08"/>
    <w:rsid w:val="0EF540CF"/>
    <w:rsid w:val="0F0A34B9"/>
    <w:rsid w:val="0F3320FE"/>
    <w:rsid w:val="0F723848"/>
    <w:rsid w:val="0F974F96"/>
    <w:rsid w:val="0F9834C1"/>
    <w:rsid w:val="108F4234"/>
    <w:rsid w:val="10CE240D"/>
    <w:rsid w:val="10FC4F6D"/>
    <w:rsid w:val="11234E2D"/>
    <w:rsid w:val="113605CA"/>
    <w:rsid w:val="123B7E78"/>
    <w:rsid w:val="12442D0E"/>
    <w:rsid w:val="12452563"/>
    <w:rsid w:val="12722550"/>
    <w:rsid w:val="131577DB"/>
    <w:rsid w:val="13D23411"/>
    <w:rsid w:val="14476C53"/>
    <w:rsid w:val="14791395"/>
    <w:rsid w:val="155A3697"/>
    <w:rsid w:val="15F0378C"/>
    <w:rsid w:val="171A4173"/>
    <w:rsid w:val="176C3F7D"/>
    <w:rsid w:val="179F0C02"/>
    <w:rsid w:val="17E71CF6"/>
    <w:rsid w:val="18216F24"/>
    <w:rsid w:val="18A45472"/>
    <w:rsid w:val="193F133F"/>
    <w:rsid w:val="1940737B"/>
    <w:rsid w:val="19791EC3"/>
    <w:rsid w:val="197A767A"/>
    <w:rsid w:val="199504C6"/>
    <w:rsid w:val="19B96DBA"/>
    <w:rsid w:val="19C80559"/>
    <w:rsid w:val="1A7D6814"/>
    <w:rsid w:val="1AEB73B7"/>
    <w:rsid w:val="1AF45AC8"/>
    <w:rsid w:val="1B103D73"/>
    <w:rsid w:val="1CB2349F"/>
    <w:rsid w:val="1CB57CA7"/>
    <w:rsid w:val="1CDB20E5"/>
    <w:rsid w:val="1D465018"/>
    <w:rsid w:val="1E913D35"/>
    <w:rsid w:val="1EF737B6"/>
    <w:rsid w:val="1FB33C7F"/>
    <w:rsid w:val="1FEA4FB9"/>
    <w:rsid w:val="20614DF1"/>
    <w:rsid w:val="20702F46"/>
    <w:rsid w:val="208D58F5"/>
    <w:rsid w:val="209B760D"/>
    <w:rsid w:val="20B117B1"/>
    <w:rsid w:val="20EE1616"/>
    <w:rsid w:val="210F6798"/>
    <w:rsid w:val="210F75CC"/>
    <w:rsid w:val="218E5BBD"/>
    <w:rsid w:val="21AD61D1"/>
    <w:rsid w:val="223460AA"/>
    <w:rsid w:val="22952C4B"/>
    <w:rsid w:val="22B343FA"/>
    <w:rsid w:val="22D8243B"/>
    <w:rsid w:val="23EA1F7D"/>
    <w:rsid w:val="23F00D78"/>
    <w:rsid w:val="23F84A91"/>
    <w:rsid w:val="24356AF4"/>
    <w:rsid w:val="2487095E"/>
    <w:rsid w:val="24967E12"/>
    <w:rsid w:val="251519E5"/>
    <w:rsid w:val="253A0920"/>
    <w:rsid w:val="25801095"/>
    <w:rsid w:val="267919B8"/>
    <w:rsid w:val="26850942"/>
    <w:rsid w:val="272462A4"/>
    <w:rsid w:val="2751350E"/>
    <w:rsid w:val="27B7069D"/>
    <w:rsid w:val="27BA2F3E"/>
    <w:rsid w:val="28AC24C6"/>
    <w:rsid w:val="28B0474F"/>
    <w:rsid w:val="28D6498F"/>
    <w:rsid w:val="29265CE4"/>
    <w:rsid w:val="294F578B"/>
    <w:rsid w:val="29776717"/>
    <w:rsid w:val="29AF562D"/>
    <w:rsid w:val="2A24682F"/>
    <w:rsid w:val="2A4F2AD2"/>
    <w:rsid w:val="2A7B2AC1"/>
    <w:rsid w:val="2A8572DE"/>
    <w:rsid w:val="2ABC3686"/>
    <w:rsid w:val="2B01079C"/>
    <w:rsid w:val="2B47568D"/>
    <w:rsid w:val="2B9958D8"/>
    <w:rsid w:val="2C614EE0"/>
    <w:rsid w:val="2C6E0973"/>
    <w:rsid w:val="2C6F63F4"/>
    <w:rsid w:val="2C7F6362"/>
    <w:rsid w:val="2C8D1227"/>
    <w:rsid w:val="2CA75812"/>
    <w:rsid w:val="2DA42F6E"/>
    <w:rsid w:val="2DA873F6"/>
    <w:rsid w:val="2DFE375C"/>
    <w:rsid w:val="2E122A91"/>
    <w:rsid w:val="2EB4662E"/>
    <w:rsid w:val="2EDB0A6C"/>
    <w:rsid w:val="2EFC0AC5"/>
    <w:rsid w:val="2F5277B1"/>
    <w:rsid w:val="2F6509D0"/>
    <w:rsid w:val="2F9C692C"/>
    <w:rsid w:val="30180474"/>
    <w:rsid w:val="305E0BE8"/>
    <w:rsid w:val="31347947"/>
    <w:rsid w:val="314A4EF4"/>
    <w:rsid w:val="31C85C3C"/>
    <w:rsid w:val="32740E49"/>
    <w:rsid w:val="33AD4B58"/>
    <w:rsid w:val="33B9096A"/>
    <w:rsid w:val="34630E03"/>
    <w:rsid w:val="3474109D"/>
    <w:rsid w:val="349C0E8D"/>
    <w:rsid w:val="34AD1BDA"/>
    <w:rsid w:val="34D039B6"/>
    <w:rsid w:val="353201D7"/>
    <w:rsid w:val="368564FF"/>
    <w:rsid w:val="36E96223"/>
    <w:rsid w:val="372F4799"/>
    <w:rsid w:val="375A305F"/>
    <w:rsid w:val="37C10485"/>
    <w:rsid w:val="37C35710"/>
    <w:rsid w:val="37D766EA"/>
    <w:rsid w:val="381D0B9F"/>
    <w:rsid w:val="385D3B87"/>
    <w:rsid w:val="38E008DD"/>
    <w:rsid w:val="392F1CE1"/>
    <w:rsid w:val="39931A05"/>
    <w:rsid w:val="39A5191F"/>
    <w:rsid w:val="3A012039"/>
    <w:rsid w:val="3A9721AC"/>
    <w:rsid w:val="3B2A0822"/>
    <w:rsid w:val="3BD814A5"/>
    <w:rsid w:val="3BF66C71"/>
    <w:rsid w:val="3C2B5E46"/>
    <w:rsid w:val="3C8961DF"/>
    <w:rsid w:val="3CA25D0C"/>
    <w:rsid w:val="3DDD0934"/>
    <w:rsid w:val="3E4806D7"/>
    <w:rsid w:val="3E6671E3"/>
    <w:rsid w:val="3E7943DD"/>
    <w:rsid w:val="3EA477D4"/>
    <w:rsid w:val="3ED42521"/>
    <w:rsid w:val="3F5952C9"/>
    <w:rsid w:val="3F677511"/>
    <w:rsid w:val="3F6E2720"/>
    <w:rsid w:val="3F767B2C"/>
    <w:rsid w:val="3FAE3509"/>
    <w:rsid w:val="3FB10C0A"/>
    <w:rsid w:val="4054751A"/>
    <w:rsid w:val="40C81A57"/>
    <w:rsid w:val="40F76D23"/>
    <w:rsid w:val="4110272E"/>
    <w:rsid w:val="418C57EB"/>
    <w:rsid w:val="419D4F33"/>
    <w:rsid w:val="41BA6A61"/>
    <w:rsid w:val="41ED183A"/>
    <w:rsid w:val="42B11578"/>
    <w:rsid w:val="434807F2"/>
    <w:rsid w:val="43AD2714"/>
    <w:rsid w:val="44950494"/>
    <w:rsid w:val="44BF1220"/>
    <w:rsid w:val="45E44BDC"/>
    <w:rsid w:val="46284F60"/>
    <w:rsid w:val="46670209"/>
    <w:rsid w:val="46F02871"/>
    <w:rsid w:val="46F04E55"/>
    <w:rsid w:val="471362A9"/>
    <w:rsid w:val="47210E42"/>
    <w:rsid w:val="47492F00"/>
    <w:rsid w:val="47947AFC"/>
    <w:rsid w:val="47A8679C"/>
    <w:rsid w:val="47F830A4"/>
    <w:rsid w:val="484E4529"/>
    <w:rsid w:val="48B87C5F"/>
    <w:rsid w:val="48C9597A"/>
    <w:rsid w:val="48D92391"/>
    <w:rsid w:val="48E01D1C"/>
    <w:rsid w:val="493375A8"/>
    <w:rsid w:val="49E97FD0"/>
    <w:rsid w:val="4A34714B"/>
    <w:rsid w:val="4AA45A61"/>
    <w:rsid w:val="4AD41253"/>
    <w:rsid w:val="4ADB665F"/>
    <w:rsid w:val="4ADC5C11"/>
    <w:rsid w:val="4AF8490A"/>
    <w:rsid w:val="4B365A74"/>
    <w:rsid w:val="4B3B1EFC"/>
    <w:rsid w:val="4BCE6EEC"/>
    <w:rsid w:val="4CE21F55"/>
    <w:rsid w:val="4CE7543A"/>
    <w:rsid w:val="4D341A19"/>
    <w:rsid w:val="4D9F4BE9"/>
    <w:rsid w:val="4E0A3254"/>
    <w:rsid w:val="4E4862FB"/>
    <w:rsid w:val="4F00775C"/>
    <w:rsid w:val="4F0679B3"/>
    <w:rsid w:val="4F2D30F6"/>
    <w:rsid w:val="4F2F2D76"/>
    <w:rsid w:val="4F560A37"/>
    <w:rsid w:val="4FDB2201"/>
    <w:rsid w:val="4FFA6FC7"/>
    <w:rsid w:val="51124210"/>
    <w:rsid w:val="512222AC"/>
    <w:rsid w:val="51260CB2"/>
    <w:rsid w:val="52571024"/>
    <w:rsid w:val="52A64B0D"/>
    <w:rsid w:val="52B868C8"/>
    <w:rsid w:val="52CA5AE0"/>
    <w:rsid w:val="52E10F88"/>
    <w:rsid w:val="52E96395"/>
    <w:rsid w:val="531F686F"/>
    <w:rsid w:val="532C5B84"/>
    <w:rsid w:val="53EE23BF"/>
    <w:rsid w:val="544A54B5"/>
    <w:rsid w:val="54571DEF"/>
    <w:rsid w:val="55094A56"/>
    <w:rsid w:val="554E1104"/>
    <w:rsid w:val="55540A0D"/>
    <w:rsid w:val="565A24B9"/>
    <w:rsid w:val="566B5FD6"/>
    <w:rsid w:val="56925E96"/>
    <w:rsid w:val="57D91A30"/>
    <w:rsid w:val="587435DB"/>
    <w:rsid w:val="58AF078F"/>
    <w:rsid w:val="591423FE"/>
    <w:rsid w:val="59161438"/>
    <w:rsid w:val="595A742C"/>
    <w:rsid w:val="595F3E9D"/>
    <w:rsid w:val="598A2741"/>
    <w:rsid w:val="598D237B"/>
    <w:rsid w:val="5A7D6400"/>
    <w:rsid w:val="5ACF620B"/>
    <w:rsid w:val="5AD2718F"/>
    <w:rsid w:val="5CFE649F"/>
    <w:rsid w:val="5E234750"/>
    <w:rsid w:val="5E2A018B"/>
    <w:rsid w:val="5E5F6326"/>
    <w:rsid w:val="5EC52588"/>
    <w:rsid w:val="5F976163"/>
    <w:rsid w:val="5F980362"/>
    <w:rsid w:val="5FA82319"/>
    <w:rsid w:val="603B4C7E"/>
    <w:rsid w:val="60572D1E"/>
    <w:rsid w:val="60956EC7"/>
    <w:rsid w:val="60C75CFC"/>
    <w:rsid w:val="60E65A85"/>
    <w:rsid w:val="61AE32D0"/>
    <w:rsid w:val="61B53AA0"/>
    <w:rsid w:val="61F652BE"/>
    <w:rsid w:val="6217747C"/>
    <w:rsid w:val="62A40365"/>
    <w:rsid w:val="62D653F0"/>
    <w:rsid w:val="63384CA7"/>
    <w:rsid w:val="636A48AB"/>
    <w:rsid w:val="63806A4E"/>
    <w:rsid w:val="63D07AD2"/>
    <w:rsid w:val="63DC6EE8"/>
    <w:rsid w:val="64654742"/>
    <w:rsid w:val="64C55A61"/>
    <w:rsid w:val="64C847E7"/>
    <w:rsid w:val="6505464C"/>
    <w:rsid w:val="654153AA"/>
    <w:rsid w:val="656D4F75"/>
    <w:rsid w:val="659473B3"/>
    <w:rsid w:val="65E174B2"/>
    <w:rsid w:val="66686491"/>
    <w:rsid w:val="667E690E"/>
    <w:rsid w:val="66E4385D"/>
    <w:rsid w:val="67110EA9"/>
    <w:rsid w:val="674A6A84"/>
    <w:rsid w:val="67662B31"/>
    <w:rsid w:val="67973300"/>
    <w:rsid w:val="68172955"/>
    <w:rsid w:val="682C7077"/>
    <w:rsid w:val="689F49D1"/>
    <w:rsid w:val="691937FC"/>
    <w:rsid w:val="691C697F"/>
    <w:rsid w:val="692F7B9E"/>
    <w:rsid w:val="69B072D5"/>
    <w:rsid w:val="69EC15D6"/>
    <w:rsid w:val="6A4A3B6E"/>
    <w:rsid w:val="6A617017"/>
    <w:rsid w:val="6A87248A"/>
    <w:rsid w:val="6B262257"/>
    <w:rsid w:val="6B524AAF"/>
    <w:rsid w:val="6B6D29CC"/>
    <w:rsid w:val="6C523F43"/>
    <w:rsid w:val="6D806BB4"/>
    <w:rsid w:val="6D8A4939"/>
    <w:rsid w:val="6DD05A39"/>
    <w:rsid w:val="6E82778A"/>
    <w:rsid w:val="6ECD0DD4"/>
    <w:rsid w:val="70291930"/>
    <w:rsid w:val="714275DF"/>
    <w:rsid w:val="71A32AFB"/>
    <w:rsid w:val="71A4057D"/>
    <w:rsid w:val="71B8237C"/>
    <w:rsid w:val="72026398"/>
    <w:rsid w:val="722A1ADB"/>
    <w:rsid w:val="7325249E"/>
    <w:rsid w:val="73F445CA"/>
    <w:rsid w:val="74321EB0"/>
    <w:rsid w:val="74853EB9"/>
    <w:rsid w:val="75681F2D"/>
    <w:rsid w:val="758075D4"/>
    <w:rsid w:val="75FA3A1A"/>
    <w:rsid w:val="765D1540"/>
    <w:rsid w:val="766A7551"/>
    <w:rsid w:val="76A209B0"/>
    <w:rsid w:val="76B242DD"/>
    <w:rsid w:val="76C96671"/>
    <w:rsid w:val="76DE7D12"/>
    <w:rsid w:val="77004BEC"/>
    <w:rsid w:val="77062C53"/>
    <w:rsid w:val="771A18F3"/>
    <w:rsid w:val="771B2BF8"/>
    <w:rsid w:val="778926D2"/>
    <w:rsid w:val="779437BB"/>
    <w:rsid w:val="77F90F61"/>
    <w:rsid w:val="78F92189"/>
    <w:rsid w:val="79170BDF"/>
    <w:rsid w:val="796108B4"/>
    <w:rsid w:val="79BE53CA"/>
    <w:rsid w:val="79D969CA"/>
    <w:rsid w:val="7B29241E"/>
    <w:rsid w:val="7B3206F1"/>
    <w:rsid w:val="7B9B6ED9"/>
    <w:rsid w:val="7B9D0D19"/>
    <w:rsid w:val="7BC55B1F"/>
    <w:rsid w:val="7BF337DD"/>
    <w:rsid w:val="7C2D424A"/>
    <w:rsid w:val="7CB87DBC"/>
    <w:rsid w:val="7CCA59C4"/>
    <w:rsid w:val="7D951800"/>
    <w:rsid w:val="7D9E53A5"/>
    <w:rsid w:val="7DC27B63"/>
    <w:rsid w:val="7DEA41A0"/>
    <w:rsid w:val="7E2120FB"/>
    <w:rsid w:val="7E225C78"/>
    <w:rsid w:val="7ED52EA3"/>
    <w:rsid w:val="7FEF3E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6"/>
    <w:qFormat/>
    <w:uiPriority w:val="0"/>
    <w:pPr>
      <w:keepNext/>
      <w:keepLines/>
      <w:spacing w:beforeLines="0" w:beforeAutospacing="0" w:afterLines="0" w:afterAutospacing="0" w:line="560" w:lineRule="exact"/>
      <w:ind w:firstLine="880" w:firstLineChars="200"/>
      <w:outlineLvl w:val="0"/>
    </w:pPr>
    <w:rPr>
      <w:rFonts w:eastAsia="黑体" w:asciiTheme="minorAscii" w:hAnsiTheme="minorAscii"/>
      <w:kern w:val="44"/>
      <w:sz w:val="32"/>
    </w:rPr>
  </w:style>
  <w:style w:type="paragraph" w:styleId="4">
    <w:name w:val="heading 2"/>
    <w:basedOn w:val="1"/>
    <w:next w:val="1"/>
    <w:link w:val="35"/>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Normal Indent"/>
    <w:basedOn w:val="1"/>
    <w:qFormat/>
    <w:uiPriority w:val="0"/>
    <w:pPr>
      <w:ind w:firstLine="420" w:firstLineChars="200"/>
    </w:p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2"/>
    <w:basedOn w:val="8"/>
    <w:qFormat/>
    <w:uiPriority w:val="0"/>
    <w:pPr>
      <w:ind w:firstLine="420" w:firstLineChars="200"/>
    </w:p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rFonts w:cs="黑体"/>
      <w:kern w:val="0"/>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Strong"/>
    <w:qFormat/>
    <w:uiPriority w:val="0"/>
    <w:rPr>
      <w:b/>
      <w:bCs/>
    </w:rPr>
  </w:style>
  <w:style w:type="character" w:styleId="19">
    <w:name w:val="Hyperlink"/>
    <w:basedOn w:val="17"/>
    <w:qFormat/>
    <w:uiPriority w:val="0"/>
    <w:rPr>
      <w:color w:val="0000FF"/>
      <w:u w:val="single"/>
    </w:rPr>
  </w:style>
  <w:style w:type="character" w:styleId="20">
    <w:name w:val="footnote reference"/>
    <w:basedOn w:val="17"/>
    <w:qFormat/>
    <w:uiPriority w:val="0"/>
    <w:rPr>
      <w:rFonts w:ascii="Tahoma" w:hAnsi="Tahoma"/>
      <w:kern w:val="2"/>
      <w:sz w:val="24"/>
      <w:szCs w:val="20"/>
      <w:vertAlign w:val="superscript"/>
      <w:lang w:eastAsia="zh-CN"/>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正文-公1"/>
    <w:basedOn w:val="24"/>
    <w:next w:val="1"/>
    <w:qFormat/>
    <w:uiPriority w:val="0"/>
    <w:pPr>
      <w:ind w:firstLine="200" w:firstLineChars="200"/>
    </w:pPr>
    <w:rPr>
      <w:rFonts w:ascii="Calibri" w:hAnsi="Calibri" w:eastAsia="宋体" w:cs="Calibri"/>
      <w:color w:val="000000"/>
      <w:szCs w:val="21"/>
    </w:rPr>
  </w:style>
  <w:style w:type="paragraph" w:customStyle="1" w:styleId="24">
    <w:name w:val="正文1"/>
    <w:next w:val="2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样式 标题 3 + 首行缩进:  2 字符"/>
    <w:basedOn w:val="5"/>
    <w:qFormat/>
    <w:uiPriority w:val="0"/>
    <w:pPr>
      <w:spacing w:before="0" w:after="0" w:line="480" w:lineRule="exact"/>
      <w:jc w:val="left"/>
    </w:pPr>
    <w:rPr>
      <w:rFonts w:ascii="宋体" w:hAnsi="宋体"/>
      <w:sz w:val="28"/>
      <w:szCs w:val="28"/>
      <w:lang w:bidi="ar-DZ"/>
    </w:rPr>
  </w:style>
  <w:style w:type="paragraph" w:customStyle="1" w:styleId="26">
    <w:name w:val="样式 正文缩进正文缩进2正文缩进 Char Char正文缩进 Char Char Char Char正文缩进 Char ..."/>
    <w:basedOn w:val="6"/>
    <w:qFormat/>
    <w:uiPriority w:val="0"/>
    <w:rPr>
      <w:rFonts w:cs="宋体"/>
    </w:rPr>
  </w:style>
  <w:style w:type="paragraph" w:customStyle="1" w:styleId="27">
    <w:name w:val="Body Text Indent_f77f72b6-f40b-4644-955b-05e6e524d3cb"/>
    <w:basedOn w:val="1"/>
    <w:qFormat/>
    <w:uiPriority w:val="0"/>
    <w:pPr>
      <w:ind w:left="420" w:leftChars="200"/>
    </w:pPr>
    <w:rPr>
      <w:kern w:val="0"/>
      <w:sz w:val="24"/>
      <w:szCs w:val="20"/>
    </w:rPr>
  </w:style>
  <w:style w:type="paragraph" w:customStyle="1" w:styleId="28">
    <w:name w:val="列出段落1"/>
    <w:basedOn w:val="1"/>
    <w:qFormat/>
    <w:uiPriority w:val="34"/>
    <w:pPr>
      <w:ind w:left="0" w:leftChars="0" w:right="0" w:rightChars="0" w:firstLine="420" w:firstLineChars="200"/>
    </w:pPr>
    <w:rPr>
      <w:rFonts w:ascii="Calibri" w:hAnsi="Calibri" w:eastAsia="宋体" w:cs="黑体"/>
    </w:rPr>
  </w:style>
  <w:style w:type="paragraph" w:customStyle="1" w:styleId="29">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
    <w:name w:val="p0"/>
    <w:basedOn w:val="1"/>
    <w:qFormat/>
    <w:uiPriority w:val="0"/>
    <w:pPr>
      <w:widowControl/>
    </w:pPr>
    <w:rPr>
      <w:kern w:val="0"/>
      <w:szCs w:val="21"/>
    </w:rPr>
  </w:style>
  <w:style w:type="character" w:customStyle="1" w:styleId="31">
    <w:name w:val="UserStyle_5"/>
    <w:semiHidden/>
    <w:qFormat/>
    <w:uiPriority w:val="0"/>
  </w:style>
  <w:style w:type="character" w:customStyle="1" w:styleId="32">
    <w:name w:val="NormalCharacter"/>
    <w:semiHidden/>
    <w:qFormat/>
    <w:uiPriority w:val="0"/>
    <w:rPr>
      <w:rFonts w:ascii="等线" w:hAnsi="等线" w:eastAsia="等线" w:cs="Times New Roman"/>
      <w:kern w:val="2"/>
      <w:sz w:val="21"/>
      <w:szCs w:val="22"/>
      <w:lang w:val="en-US" w:eastAsia="zh-CN" w:bidi="ar-SA"/>
    </w:rPr>
  </w:style>
  <w:style w:type="paragraph" w:customStyle="1" w:styleId="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
    <w:name w:val="标题 2 Char"/>
    <w:link w:val="4"/>
    <w:qFormat/>
    <w:uiPriority w:val="0"/>
    <w:rPr>
      <w:rFonts w:ascii="Calibri Light" w:hAnsi="Calibri Light" w:eastAsia="宋体" w:cs="Times New Roman"/>
      <w:b/>
      <w:bCs/>
      <w:sz w:val="32"/>
      <w:szCs w:val="32"/>
    </w:rPr>
  </w:style>
  <w:style w:type="character" w:customStyle="1" w:styleId="36">
    <w:name w:val="标题 1 Char"/>
    <w:link w:val="3"/>
    <w:qFormat/>
    <w:uiPriority w:val="0"/>
    <w:rPr>
      <w:rFonts w:eastAsia="黑体" w:asciiTheme="minorAscii" w:hAnsiTheme="minorAscii"/>
      <w:kern w:val="44"/>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6267</Words>
  <Characters>6480</Characters>
  <Lines>0</Lines>
  <Paragraphs>0</Paragraphs>
  <ScaleCrop>false</ScaleCrop>
  <LinksUpToDate>false</LinksUpToDate>
  <CharactersWithSpaces>7271</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M4600</dc:creator>
  <cp:lastModifiedBy>韩录昌</cp:lastModifiedBy>
  <cp:lastPrinted>2025-04-09T01:45:00Z</cp:lastPrinted>
  <dcterms:modified xsi:type="dcterms:W3CDTF">2026-05-21T09:52:20Z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B59E69D2A460437F968F8344253BD88F_13</vt:lpwstr>
  </property>
  <property fmtid="{D5CDD505-2E9C-101B-9397-08002B2CF9AE}" pid="4" name="KSOTemplateDocerSaveRecord">
    <vt:lpwstr>eyJoZGlkIjoiZjNjN2YyM2Y0NGUyZmI3OTdjNjQ1MDFlZjk1OTQwYWYiLCJ1c2VySWQiOiIyODQ0Nzc3MDIifQ==</vt:lpwstr>
  </property>
</Properties>
</file>